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E5A6F" w14:textId="77777777" w:rsidR="006A6341" w:rsidRPr="006A6341" w:rsidRDefault="006A6341" w:rsidP="00B432E0">
      <w:pPr>
        <w:pStyle w:val="Heading1"/>
        <w:rPr>
          <w:color w:val="FF0000"/>
        </w:rPr>
      </w:pPr>
      <w:bookmarkStart w:id="0" w:name="WarningText"/>
      <w:bookmarkEnd w:id="0"/>
    </w:p>
    <w:p w14:paraId="6EE02206" w14:textId="77777777" w:rsidR="00FA282F" w:rsidRDefault="00FA282F" w:rsidP="00B432E0">
      <w:pPr>
        <w:pStyle w:val="Heading1"/>
      </w:pPr>
    </w:p>
    <w:p w14:paraId="278627E2" w14:textId="77777777" w:rsidR="00C513D6" w:rsidRDefault="00C513D6" w:rsidP="00FA282F">
      <w:pPr>
        <w:jc w:val="center"/>
        <w:rPr>
          <w:b/>
          <w:color w:val="0070C0"/>
          <w:sz w:val="44"/>
          <w:szCs w:val="44"/>
        </w:rPr>
      </w:pPr>
    </w:p>
    <w:p w14:paraId="60B4CB90" w14:textId="77777777" w:rsidR="00C513D6" w:rsidRDefault="00C513D6" w:rsidP="00FA282F">
      <w:pPr>
        <w:jc w:val="center"/>
        <w:rPr>
          <w:b/>
          <w:color w:val="0070C0"/>
          <w:sz w:val="44"/>
          <w:szCs w:val="44"/>
        </w:rPr>
      </w:pPr>
    </w:p>
    <w:p w14:paraId="12F23193" w14:textId="77777777" w:rsidR="00C513D6" w:rsidRDefault="00C513D6" w:rsidP="00FA282F">
      <w:pPr>
        <w:jc w:val="center"/>
        <w:rPr>
          <w:b/>
          <w:color w:val="0070C0"/>
          <w:sz w:val="44"/>
          <w:szCs w:val="44"/>
        </w:rPr>
      </w:pPr>
    </w:p>
    <w:p w14:paraId="70649B35" w14:textId="77777777" w:rsidR="00C513D6" w:rsidRDefault="00C513D6" w:rsidP="00FA282F">
      <w:pPr>
        <w:jc w:val="center"/>
        <w:rPr>
          <w:b/>
          <w:color w:val="0070C0"/>
          <w:sz w:val="44"/>
          <w:szCs w:val="44"/>
        </w:rPr>
      </w:pPr>
    </w:p>
    <w:p w14:paraId="5EA3330B" w14:textId="77777777" w:rsidR="00FA282F" w:rsidRDefault="00C513D6" w:rsidP="00FA282F">
      <w:pPr>
        <w:jc w:val="center"/>
        <w:rPr>
          <w:b/>
          <w:color w:val="0070C0"/>
          <w:sz w:val="44"/>
          <w:szCs w:val="44"/>
        </w:rPr>
      </w:pPr>
      <w:r>
        <w:rPr>
          <w:b/>
          <w:color w:val="0070C0"/>
          <w:sz w:val="44"/>
          <w:szCs w:val="44"/>
        </w:rPr>
        <w:t>Southfield Way Surgery</w:t>
      </w:r>
    </w:p>
    <w:p w14:paraId="35EA1153" w14:textId="77777777" w:rsidR="00C513D6" w:rsidRDefault="00C513D6" w:rsidP="00FA282F">
      <w:pPr>
        <w:jc w:val="center"/>
        <w:rPr>
          <w:b/>
          <w:color w:val="0070C0"/>
          <w:sz w:val="44"/>
          <w:szCs w:val="44"/>
        </w:rPr>
      </w:pPr>
      <w:r>
        <w:rPr>
          <w:b/>
          <w:color w:val="0070C0"/>
          <w:sz w:val="44"/>
          <w:szCs w:val="44"/>
        </w:rPr>
        <w:t>2a Southfield Way</w:t>
      </w:r>
    </w:p>
    <w:p w14:paraId="6FA77F4E" w14:textId="77777777" w:rsidR="00C513D6" w:rsidRDefault="00C513D6" w:rsidP="00FA282F">
      <w:pPr>
        <w:jc w:val="center"/>
        <w:rPr>
          <w:b/>
          <w:color w:val="0070C0"/>
          <w:sz w:val="44"/>
          <w:szCs w:val="44"/>
        </w:rPr>
      </w:pPr>
      <w:r>
        <w:rPr>
          <w:b/>
          <w:color w:val="0070C0"/>
          <w:sz w:val="44"/>
          <w:szCs w:val="44"/>
        </w:rPr>
        <w:t>Great Wyrley</w:t>
      </w:r>
    </w:p>
    <w:p w14:paraId="07CBD198" w14:textId="77777777" w:rsidR="00C513D6" w:rsidRDefault="00C513D6" w:rsidP="00FA282F">
      <w:pPr>
        <w:jc w:val="center"/>
        <w:rPr>
          <w:b/>
          <w:color w:val="0070C0"/>
          <w:sz w:val="44"/>
          <w:szCs w:val="44"/>
        </w:rPr>
      </w:pPr>
      <w:r>
        <w:rPr>
          <w:b/>
          <w:color w:val="0070C0"/>
          <w:sz w:val="44"/>
          <w:szCs w:val="44"/>
        </w:rPr>
        <w:t>Staffs</w:t>
      </w:r>
    </w:p>
    <w:p w14:paraId="31346A3E" w14:textId="77777777" w:rsidR="00FA282F" w:rsidRDefault="00FA282F" w:rsidP="00FA282F">
      <w:pPr>
        <w:jc w:val="center"/>
        <w:rPr>
          <w:b/>
          <w:color w:val="0070C0"/>
          <w:sz w:val="44"/>
          <w:szCs w:val="44"/>
        </w:rPr>
      </w:pPr>
    </w:p>
    <w:p w14:paraId="42DCA4F0" w14:textId="77777777" w:rsidR="00C513D6" w:rsidRDefault="00C513D6" w:rsidP="00FA282F">
      <w:pPr>
        <w:jc w:val="center"/>
        <w:rPr>
          <w:b/>
          <w:color w:val="0070C0"/>
          <w:sz w:val="44"/>
          <w:szCs w:val="44"/>
        </w:rPr>
      </w:pPr>
    </w:p>
    <w:p w14:paraId="25B071EB" w14:textId="77777777" w:rsidR="00C513D6" w:rsidRPr="00C513D6" w:rsidRDefault="00C513D6" w:rsidP="00FA282F">
      <w:pPr>
        <w:jc w:val="center"/>
        <w:rPr>
          <w:b/>
          <w:color w:val="0070C0"/>
          <w:sz w:val="44"/>
          <w:szCs w:val="44"/>
        </w:rPr>
      </w:pPr>
    </w:p>
    <w:p w14:paraId="7D0EF8F8" w14:textId="77777777" w:rsidR="00FA282F" w:rsidRPr="00C513D6" w:rsidRDefault="00FA282F" w:rsidP="00FA282F">
      <w:pPr>
        <w:jc w:val="center"/>
        <w:rPr>
          <w:b/>
          <w:color w:val="0070C0"/>
          <w:sz w:val="44"/>
          <w:szCs w:val="44"/>
        </w:rPr>
      </w:pPr>
    </w:p>
    <w:p w14:paraId="42722F90" w14:textId="77777777" w:rsidR="00FA282F" w:rsidRPr="00C513D6" w:rsidRDefault="008233ED" w:rsidP="0080239B">
      <w:pPr>
        <w:pStyle w:val="Heading1"/>
        <w:rPr>
          <w:color w:val="0070C0"/>
          <w:sz w:val="36"/>
          <w:szCs w:val="36"/>
        </w:rPr>
      </w:pPr>
      <w:r>
        <w:rPr>
          <w:color w:val="0070C0"/>
          <w:sz w:val="36"/>
          <w:szCs w:val="36"/>
        </w:rPr>
        <w:t>Information Governance and Data Security Policy</w:t>
      </w:r>
    </w:p>
    <w:p w14:paraId="31978FB0" w14:textId="77777777" w:rsidR="00FA282F" w:rsidRPr="00C513D6" w:rsidRDefault="00FA282F" w:rsidP="00FA282F">
      <w:pPr>
        <w:jc w:val="center"/>
        <w:rPr>
          <w:b/>
          <w:color w:val="0070C0"/>
        </w:rPr>
      </w:pPr>
    </w:p>
    <w:p w14:paraId="1E702DC1" w14:textId="77777777" w:rsidR="00FA282F" w:rsidRPr="00756B1E" w:rsidRDefault="00FA282F" w:rsidP="00FA282F">
      <w:pPr>
        <w:jc w:val="center"/>
        <w:rPr>
          <w:b/>
          <w:color w:val="00B0F0"/>
          <w:sz w:val="44"/>
          <w:szCs w:val="44"/>
        </w:rPr>
      </w:pPr>
    </w:p>
    <w:p w14:paraId="5097FE48" w14:textId="77777777" w:rsidR="00FA282F" w:rsidRPr="00756B1E" w:rsidRDefault="00FA282F" w:rsidP="00FA282F">
      <w:pPr>
        <w:jc w:val="center"/>
        <w:rPr>
          <w:b/>
          <w:color w:val="00B0F0"/>
          <w:sz w:val="44"/>
          <w:szCs w:val="44"/>
        </w:rPr>
      </w:pPr>
    </w:p>
    <w:p w14:paraId="720300B2" w14:textId="77777777" w:rsidR="00FA282F" w:rsidRPr="00756B1E" w:rsidRDefault="00FA282F" w:rsidP="00FA282F">
      <w:pPr>
        <w:jc w:val="center"/>
        <w:rPr>
          <w:b/>
          <w:color w:val="00B0F0"/>
          <w:sz w:val="44"/>
          <w:szCs w:val="44"/>
        </w:rPr>
      </w:pPr>
    </w:p>
    <w:p w14:paraId="783EA61F" w14:textId="77777777" w:rsidR="00FA282F" w:rsidRPr="00756B1E" w:rsidRDefault="00FA282F" w:rsidP="00FA282F">
      <w:pPr>
        <w:jc w:val="center"/>
        <w:rPr>
          <w:b/>
          <w:color w:val="00B0F0"/>
          <w:sz w:val="44"/>
          <w:szCs w:val="44"/>
        </w:rPr>
      </w:pPr>
    </w:p>
    <w:p w14:paraId="1677DE0A" w14:textId="77777777" w:rsidR="00FA282F" w:rsidRPr="00756B1E" w:rsidRDefault="00FA282F" w:rsidP="00FA282F">
      <w:pPr>
        <w:jc w:val="center"/>
        <w:rPr>
          <w:b/>
          <w:color w:val="00B0F0"/>
          <w:sz w:val="44"/>
          <w:szCs w:val="44"/>
        </w:rPr>
      </w:pPr>
    </w:p>
    <w:p w14:paraId="0F8DD2F8" w14:textId="77777777" w:rsidR="00FA282F" w:rsidRPr="00756B1E" w:rsidRDefault="00FA282F" w:rsidP="00FA282F">
      <w:pPr>
        <w:jc w:val="center"/>
        <w:rPr>
          <w:b/>
          <w:color w:val="00B0F0"/>
          <w:sz w:val="32"/>
          <w:szCs w:val="32"/>
        </w:rPr>
      </w:pPr>
    </w:p>
    <w:p w14:paraId="4EE32373" w14:textId="77777777" w:rsidR="00FA282F" w:rsidRPr="00756B1E" w:rsidRDefault="00FA282F" w:rsidP="00FA282F">
      <w:pPr>
        <w:jc w:val="center"/>
        <w:rPr>
          <w:b/>
          <w:color w:val="00B0F0"/>
          <w:sz w:val="32"/>
          <w:szCs w:val="32"/>
        </w:rPr>
      </w:pPr>
    </w:p>
    <w:p w14:paraId="7AD3C4D2" w14:textId="77777777" w:rsidR="00FA282F" w:rsidRPr="00756B1E" w:rsidRDefault="00FA282F" w:rsidP="00FA282F">
      <w:pPr>
        <w:jc w:val="center"/>
        <w:rPr>
          <w:b/>
          <w:color w:val="00B0F0"/>
          <w:sz w:val="32"/>
          <w:szCs w:val="32"/>
        </w:rPr>
      </w:pPr>
    </w:p>
    <w:p w14:paraId="2932A886" w14:textId="77777777" w:rsidR="00FA282F" w:rsidRPr="00756B1E" w:rsidRDefault="00FA282F" w:rsidP="00FA282F">
      <w:pPr>
        <w:jc w:val="center"/>
        <w:rPr>
          <w:b/>
          <w:color w:val="00B0F0"/>
          <w:sz w:val="32"/>
          <w:szCs w:val="32"/>
        </w:rPr>
      </w:pPr>
    </w:p>
    <w:p w14:paraId="1777D674" w14:textId="77777777" w:rsidR="00FA282F" w:rsidRPr="00756B1E" w:rsidRDefault="00FA282F" w:rsidP="00FA282F">
      <w:pPr>
        <w:jc w:val="center"/>
        <w:rPr>
          <w:b/>
          <w:color w:val="00B0F0"/>
          <w:sz w:val="32"/>
          <w:szCs w:val="32"/>
        </w:rPr>
      </w:pPr>
    </w:p>
    <w:p w14:paraId="6B6AD556" w14:textId="77777777" w:rsidR="00FA282F" w:rsidRPr="00756B1E" w:rsidRDefault="00FA282F" w:rsidP="00FA282F">
      <w:pPr>
        <w:jc w:val="center"/>
        <w:rPr>
          <w:b/>
          <w:color w:val="00B0F0"/>
          <w:sz w:val="32"/>
          <w:szCs w:val="32"/>
        </w:rPr>
      </w:pPr>
    </w:p>
    <w:p w14:paraId="7C874318" w14:textId="77777777" w:rsidR="00FA282F" w:rsidRPr="00756B1E" w:rsidRDefault="00FA282F" w:rsidP="00FA282F">
      <w:pPr>
        <w:jc w:val="center"/>
        <w:rPr>
          <w:b/>
          <w:color w:val="00B0F0"/>
          <w:sz w:val="32"/>
          <w:szCs w:val="32"/>
        </w:rPr>
      </w:pPr>
    </w:p>
    <w:p w14:paraId="6C25DD7D" w14:textId="77777777" w:rsidR="00FA282F" w:rsidRPr="00C513D6" w:rsidRDefault="00FA282F" w:rsidP="00FA282F">
      <w:pPr>
        <w:rPr>
          <w:b/>
          <w:color w:val="0070C0"/>
        </w:rPr>
      </w:pPr>
      <w:r w:rsidRPr="00C513D6">
        <w:rPr>
          <w:b/>
          <w:color w:val="0070C0"/>
        </w:rPr>
        <w:t xml:space="preserve">Version </w:t>
      </w:r>
      <w:r w:rsidR="008233ED">
        <w:rPr>
          <w:b/>
          <w:color w:val="0070C0"/>
        </w:rPr>
        <w:t>2</w:t>
      </w:r>
    </w:p>
    <w:p w14:paraId="03AEE24D" w14:textId="77777777" w:rsidR="00FA282F" w:rsidRPr="00C513D6" w:rsidRDefault="00FA282F" w:rsidP="00FA282F">
      <w:pPr>
        <w:rPr>
          <w:b/>
          <w:color w:val="0070C0"/>
        </w:rPr>
      </w:pPr>
      <w:r w:rsidRPr="00C513D6">
        <w:rPr>
          <w:b/>
          <w:color w:val="0070C0"/>
        </w:rPr>
        <w:t>Author</w:t>
      </w:r>
      <w:r w:rsidR="00D74CAD">
        <w:rPr>
          <w:b/>
          <w:color w:val="0070C0"/>
        </w:rPr>
        <w:t>:</w:t>
      </w:r>
      <w:r w:rsidRPr="00C513D6">
        <w:rPr>
          <w:b/>
          <w:color w:val="0070C0"/>
        </w:rPr>
        <w:t xml:space="preserve"> </w:t>
      </w:r>
      <w:r w:rsidR="008233ED">
        <w:rPr>
          <w:b/>
          <w:color w:val="0070C0"/>
        </w:rPr>
        <w:t>Paul Couldrey</w:t>
      </w:r>
      <w:r w:rsidRPr="00C513D6">
        <w:rPr>
          <w:b/>
          <w:color w:val="0070C0"/>
        </w:rPr>
        <w:t xml:space="preserve"> </w:t>
      </w:r>
    </w:p>
    <w:p w14:paraId="672C4803" w14:textId="77777777" w:rsidR="00FA282F" w:rsidRPr="00C513D6" w:rsidRDefault="00FA282F" w:rsidP="00FA282F">
      <w:pPr>
        <w:rPr>
          <w:b/>
          <w:color w:val="0070C0"/>
        </w:rPr>
      </w:pPr>
      <w:r w:rsidRPr="00C513D6">
        <w:rPr>
          <w:b/>
          <w:color w:val="0070C0"/>
        </w:rPr>
        <w:t>Area of application All Staff</w:t>
      </w:r>
    </w:p>
    <w:p w14:paraId="28D38318" w14:textId="77777777" w:rsidR="00FA282F" w:rsidRPr="00C513D6" w:rsidRDefault="00FA282F" w:rsidP="00FA282F">
      <w:pPr>
        <w:rPr>
          <w:b/>
          <w:color w:val="0070C0"/>
        </w:rPr>
      </w:pPr>
      <w:r w:rsidRPr="00C513D6">
        <w:rPr>
          <w:b/>
          <w:color w:val="0070C0"/>
        </w:rPr>
        <w:t>Implementation Date</w:t>
      </w:r>
      <w:r w:rsidR="00D74CAD">
        <w:rPr>
          <w:b/>
          <w:color w:val="0070C0"/>
        </w:rPr>
        <w:t xml:space="preserve">: </w:t>
      </w:r>
      <w:r w:rsidRPr="00C513D6">
        <w:rPr>
          <w:b/>
          <w:color w:val="0070C0"/>
        </w:rPr>
        <w:t xml:space="preserve"> </w:t>
      </w:r>
      <w:r w:rsidR="008233ED">
        <w:rPr>
          <w:b/>
          <w:color w:val="0070C0"/>
        </w:rPr>
        <w:t>01 Dec 2018</w:t>
      </w:r>
    </w:p>
    <w:p w14:paraId="5558E7B0" w14:textId="77777777" w:rsidR="00BF4D5D" w:rsidRPr="00C513D6" w:rsidRDefault="00BF4D5D" w:rsidP="00FA282F">
      <w:pPr>
        <w:rPr>
          <w:b/>
          <w:color w:val="0070C0"/>
        </w:rPr>
      </w:pPr>
      <w:r w:rsidRPr="00C513D6">
        <w:rPr>
          <w:b/>
          <w:color w:val="0070C0"/>
        </w:rPr>
        <w:t xml:space="preserve">Last Reviewed </w:t>
      </w:r>
      <w:r w:rsidR="00D74CAD">
        <w:rPr>
          <w:b/>
          <w:color w:val="0070C0"/>
        </w:rPr>
        <w:t>:</w:t>
      </w:r>
      <w:r w:rsidR="00C513D6">
        <w:rPr>
          <w:b/>
          <w:color w:val="0070C0"/>
        </w:rPr>
        <w:t xml:space="preserve">  </w:t>
      </w:r>
      <w:r w:rsidR="008233ED">
        <w:rPr>
          <w:b/>
          <w:color w:val="0070C0"/>
        </w:rPr>
        <w:t>27 July 2020</w:t>
      </w:r>
    </w:p>
    <w:p w14:paraId="4EBD3F13" w14:textId="77777777" w:rsidR="00FA282F" w:rsidRPr="00C513D6" w:rsidRDefault="00FA282F" w:rsidP="00FA282F">
      <w:pPr>
        <w:rPr>
          <w:b/>
          <w:color w:val="0070C0"/>
        </w:rPr>
      </w:pPr>
      <w:r w:rsidRPr="00C513D6">
        <w:rPr>
          <w:b/>
          <w:color w:val="0070C0"/>
        </w:rPr>
        <w:t>Next review Due</w:t>
      </w:r>
      <w:r w:rsidR="00D74CAD">
        <w:rPr>
          <w:b/>
          <w:color w:val="0070C0"/>
        </w:rPr>
        <w:t>:</w:t>
      </w:r>
      <w:r w:rsidRPr="00C513D6">
        <w:rPr>
          <w:b/>
          <w:color w:val="0070C0"/>
        </w:rPr>
        <w:t xml:space="preserve"> </w:t>
      </w:r>
      <w:r w:rsidR="008233ED">
        <w:rPr>
          <w:b/>
          <w:color w:val="0070C0"/>
        </w:rPr>
        <w:t>July</w:t>
      </w:r>
      <w:r w:rsidR="0080239B">
        <w:rPr>
          <w:b/>
          <w:color w:val="0070C0"/>
        </w:rPr>
        <w:t xml:space="preserve"> 2021</w:t>
      </w:r>
    </w:p>
    <w:p w14:paraId="4D29AA92" w14:textId="77777777" w:rsidR="00FA282F" w:rsidRPr="00C513D6" w:rsidRDefault="00FA282F" w:rsidP="00FA282F">
      <w:pPr>
        <w:rPr>
          <w:b/>
          <w:color w:val="0070C0"/>
        </w:rPr>
      </w:pPr>
    </w:p>
    <w:p w14:paraId="528187BE" w14:textId="77777777" w:rsidR="00FA282F" w:rsidRPr="00756B1E" w:rsidRDefault="00FA282F" w:rsidP="00B432E0">
      <w:pPr>
        <w:pStyle w:val="Heading1"/>
        <w:rPr>
          <w:color w:val="00B0F0"/>
        </w:rPr>
      </w:pPr>
    </w:p>
    <w:p w14:paraId="4E4162A8" w14:textId="77777777" w:rsidR="006149CC" w:rsidRPr="00315B88" w:rsidRDefault="006149CC" w:rsidP="00BA3A1D">
      <w:pPr>
        <w:jc w:val="center"/>
        <w:rPr>
          <w:b/>
        </w:rPr>
      </w:pPr>
    </w:p>
    <w:p w14:paraId="3D72B0AE" w14:textId="77777777" w:rsidR="00BA3A1D" w:rsidRPr="00EE41A4" w:rsidRDefault="00BA3A1D" w:rsidP="00EE41A4">
      <w:pPr>
        <w:pStyle w:val="Heading2"/>
      </w:pPr>
      <w:bookmarkStart w:id="1" w:name="_Toc304206344"/>
      <w:bookmarkStart w:id="2" w:name="_Toc304206528"/>
      <w:bookmarkStart w:id="3" w:name="_Toc304283103"/>
      <w:bookmarkStart w:id="4" w:name="_Toc308186410"/>
      <w:bookmarkStart w:id="5" w:name="_Toc359495593"/>
      <w:r w:rsidRPr="00EE41A4">
        <w:t>Document Control</w:t>
      </w:r>
      <w:bookmarkEnd w:id="1"/>
      <w:bookmarkEnd w:id="2"/>
      <w:bookmarkEnd w:id="3"/>
      <w:bookmarkEnd w:id="4"/>
      <w:bookmarkEnd w:id="5"/>
    </w:p>
    <w:p w14:paraId="73F0E165" w14:textId="77777777" w:rsidR="00BA3A1D" w:rsidRPr="001E676D" w:rsidRDefault="00BA3A1D" w:rsidP="00BA3A1D">
      <w:pPr>
        <w:rPr>
          <w:sz w:val="20"/>
          <w:szCs w:val="20"/>
        </w:rPr>
      </w:pPr>
    </w:p>
    <w:p w14:paraId="7B03C5E4" w14:textId="77777777" w:rsidR="00BA3A1D" w:rsidRPr="00EE41A4" w:rsidRDefault="00BA3A1D" w:rsidP="00EE41A4">
      <w:pPr>
        <w:pStyle w:val="Heading3"/>
      </w:pPr>
      <w:bookmarkStart w:id="6" w:name="_Toc304206345"/>
      <w:bookmarkStart w:id="7" w:name="_Toc304206529"/>
      <w:bookmarkStart w:id="8" w:name="_Toc304283104"/>
      <w:bookmarkStart w:id="9" w:name="_Toc308186411"/>
      <w:bookmarkStart w:id="10" w:name="_Toc359495594"/>
      <w:r w:rsidRPr="00EE41A4">
        <w:t>A.</w:t>
      </w:r>
      <w:r w:rsidRPr="00EE41A4">
        <w:tab/>
        <w:t>Confidentiality Notice</w:t>
      </w:r>
      <w:bookmarkEnd w:id="6"/>
      <w:bookmarkEnd w:id="7"/>
      <w:bookmarkEnd w:id="8"/>
      <w:bookmarkEnd w:id="9"/>
      <w:bookmarkEnd w:id="10"/>
    </w:p>
    <w:p w14:paraId="5ACBB2BD" w14:textId="77777777" w:rsidR="00BA3A1D" w:rsidRPr="001E676D" w:rsidRDefault="00BA3A1D" w:rsidP="00BA3A1D">
      <w:pPr>
        <w:rPr>
          <w:sz w:val="20"/>
          <w:szCs w:val="20"/>
        </w:rPr>
      </w:pPr>
    </w:p>
    <w:p w14:paraId="5394E0B0" w14:textId="77777777" w:rsidR="00A13FC6" w:rsidRDefault="00BA3A1D" w:rsidP="00A13FC6">
      <w:pPr>
        <w:jc w:val="both"/>
      </w:pPr>
      <w:r w:rsidRPr="004509E5">
        <w:t xml:space="preserve">This document and the information contained therein is the property of </w:t>
      </w:r>
      <w:r w:rsidR="00C513D6">
        <w:t xml:space="preserve">Southfield Way Surgery </w:t>
      </w:r>
    </w:p>
    <w:p w14:paraId="117CAC96" w14:textId="77777777" w:rsidR="00A13FC6" w:rsidRPr="001E676D" w:rsidRDefault="00A13FC6" w:rsidP="00A13FC6">
      <w:pPr>
        <w:jc w:val="both"/>
        <w:rPr>
          <w:sz w:val="20"/>
          <w:szCs w:val="20"/>
        </w:rPr>
      </w:pPr>
    </w:p>
    <w:p w14:paraId="76F5B880" w14:textId="77777777" w:rsidR="00BA3A1D" w:rsidRPr="004509E5" w:rsidRDefault="00BA3A1D" w:rsidP="00A13FC6">
      <w:pPr>
        <w:jc w:val="both"/>
      </w:pPr>
      <w:r w:rsidRPr="004509E5">
        <w:t xml:space="preserve">This document contains information that is privileged, confidential or otherwise protected from disclosure. It must not be used by, or its contents reproduced or otherwise copied or disclosed without the prior consent in writing from </w:t>
      </w:r>
      <w:r w:rsidR="00C513D6">
        <w:t>Southfield Way Surgery</w:t>
      </w:r>
    </w:p>
    <w:p w14:paraId="4BB407AD" w14:textId="77777777" w:rsidR="00BA3A1D" w:rsidRPr="001E676D" w:rsidRDefault="00BA3A1D" w:rsidP="00BA3A1D">
      <w:pPr>
        <w:rPr>
          <w:sz w:val="20"/>
          <w:szCs w:val="20"/>
        </w:rPr>
      </w:pPr>
    </w:p>
    <w:p w14:paraId="54975761" w14:textId="77777777" w:rsidR="00BA3A1D" w:rsidRDefault="00BA3A1D" w:rsidP="00EE41A4">
      <w:pPr>
        <w:pStyle w:val="Heading3"/>
      </w:pPr>
      <w:bookmarkStart w:id="11" w:name="_Toc304206346"/>
      <w:bookmarkStart w:id="12" w:name="_Toc304206530"/>
      <w:bookmarkStart w:id="13" w:name="_Toc304283105"/>
      <w:bookmarkStart w:id="14" w:name="_Toc308186412"/>
      <w:bookmarkStart w:id="15" w:name="_Toc359495595"/>
      <w:r w:rsidRPr="00EE41A4">
        <w:t>B.</w:t>
      </w:r>
      <w:r w:rsidRPr="00EE41A4">
        <w:tab/>
      </w:r>
      <w:r w:rsidRPr="00212B2E">
        <w:t xml:space="preserve">Document </w:t>
      </w:r>
      <w:r>
        <w:t>Details</w:t>
      </w:r>
      <w:bookmarkEnd w:id="11"/>
      <w:bookmarkEnd w:id="12"/>
      <w:bookmarkEnd w:id="13"/>
      <w:bookmarkEnd w:id="14"/>
      <w:bookmarkEnd w:id="15"/>
    </w:p>
    <w:p w14:paraId="4D0014C8" w14:textId="77777777" w:rsidR="00BA3A1D" w:rsidRPr="001E676D" w:rsidRDefault="00BA3A1D" w:rsidP="00BA3A1D">
      <w:pPr>
        <w:rPr>
          <w:b/>
          <w:sz w:val="20"/>
          <w:szCs w:val="20"/>
        </w:rPr>
      </w:pPr>
    </w:p>
    <w:tbl>
      <w:tblPr>
        <w:tblW w:w="958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3531"/>
        <w:gridCol w:w="6057"/>
      </w:tblGrid>
      <w:tr w:rsidR="00BA3A1D" w:rsidRPr="00382E0E" w14:paraId="177BBF6F" w14:textId="77777777" w:rsidTr="00382E0E">
        <w:tc>
          <w:tcPr>
            <w:tcW w:w="3531" w:type="dxa"/>
            <w:shd w:val="clear" w:color="auto" w:fill="D9D9D9"/>
          </w:tcPr>
          <w:p w14:paraId="172A0FC1" w14:textId="77777777" w:rsidR="00BA3A1D" w:rsidRPr="00382E0E" w:rsidRDefault="00BA3A1D" w:rsidP="00702112">
            <w:pPr>
              <w:rPr>
                <w:b/>
                <w:caps/>
              </w:rPr>
            </w:pPr>
            <w:r w:rsidRPr="00382E0E">
              <w:rPr>
                <w:b/>
              </w:rPr>
              <w:t>Classification:</w:t>
            </w:r>
          </w:p>
        </w:tc>
        <w:tc>
          <w:tcPr>
            <w:tcW w:w="6057" w:type="dxa"/>
            <w:shd w:val="clear" w:color="auto" w:fill="auto"/>
          </w:tcPr>
          <w:p w14:paraId="43AB2373" w14:textId="77777777" w:rsidR="00BA3A1D" w:rsidRPr="00A13FC6" w:rsidRDefault="00FA282F" w:rsidP="00A13FC6">
            <w:r>
              <w:t xml:space="preserve">Internal </w:t>
            </w:r>
          </w:p>
        </w:tc>
      </w:tr>
      <w:tr w:rsidR="00BA3A1D" w:rsidRPr="00382E0E" w14:paraId="4D368700" w14:textId="77777777" w:rsidTr="00382E0E">
        <w:tc>
          <w:tcPr>
            <w:tcW w:w="3531" w:type="dxa"/>
            <w:shd w:val="clear" w:color="auto" w:fill="D9D9D9"/>
          </w:tcPr>
          <w:p w14:paraId="016BB1D6" w14:textId="77777777" w:rsidR="00BA3A1D" w:rsidRPr="00382E0E" w:rsidRDefault="00BA3A1D" w:rsidP="00702112">
            <w:pPr>
              <w:rPr>
                <w:b/>
                <w:caps/>
              </w:rPr>
            </w:pPr>
            <w:r w:rsidRPr="00382E0E">
              <w:rPr>
                <w:b/>
              </w:rPr>
              <w:t>Author and Role:</w:t>
            </w:r>
          </w:p>
        </w:tc>
        <w:tc>
          <w:tcPr>
            <w:tcW w:w="6057" w:type="dxa"/>
            <w:shd w:val="clear" w:color="auto" w:fill="auto"/>
          </w:tcPr>
          <w:p w14:paraId="1B920E2D" w14:textId="77777777" w:rsidR="00BA3A1D" w:rsidRPr="00A13FC6" w:rsidRDefault="00FD16F1" w:rsidP="00FA282F">
            <w:r>
              <w:t>Carl Bradley</w:t>
            </w:r>
          </w:p>
        </w:tc>
      </w:tr>
      <w:tr w:rsidR="00BA3A1D" w:rsidRPr="00382E0E" w14:paraId="443636A5" w14:textId="77777777" w:rsidTr="00382E0E">
        <w:tc>
          <w:tcPr>
            <w:tcW w:w="3531" w:type="dxa"/>
            <w:shd w:val="clear" w:color="auto" w:fill="D9D9D9"/>
          </w:tcPr>
          <w:p w14:paraId="3FE5E840" w14:textId="77777777" w:rsidR="00BA3A1D" w:rsidRPr="00382E0E" w:rsidRDefault="00BA3A1D" w:rsidP="00702112">
            <w:pPr>
              <w:rPr>
                <w:b/>
                <w:caps/>
              </w:rPr>
            </w:pPr>
            <w:r w:rsidRPr="00382E0E">
              <w:rPr>
                <w:b/>
              </w:rPr>
              <w:t>Organisation:</w:t>
            </w:r>
          </w:p>
        </w:tc>
        <w:tc>
          <w:tcPr>
            <w:tcW w:w="6057" w:type="dxa"/>
            <w:shd w:val="clear" w:color="auto" w:fill="auto"/>
          </w:tcPr>
          <w:p w14:paraId="720BA7ED" w14:textId="77777777" w:rsidR="00BA3A1D" w:rsidRPr="00A13FC6" w:rsidRDefault="00C513D6" w:rsidP="00A13FC6">
            <w:r>
              <w:t xml:space="preserve">Southfield Way Surgery </w:t>
            </w:r>
          </w:p>
        </w:tc>
      </w:tr>
      <w:tr w:rsidR="00BA3A1D" w:rsidRPr="00382E0E" w14:paraId="4A246DDE" w14:textId="77777777" w:rsidTr="00382E0E">
        <w:tc>
          <w:tcPr>
            <w:tcW w:w="3531" w:type="dxa"/>
            <w:shd w:val="clear" w:color="auto" w:fill="D9D9D9"/>
          </w:tcPr>
          <w:p w14:paraId="6EDB220B" w14:textId="77777777" w:rsidR="00BA3A1D" w:rsidRPr="00382E0E" w:rsidRDefault="00BA3A1D" w:rsidP="00702112">
            <w:pPr>
              <w:rPr>
                <w:b/>
                <w:caps/>
              </w:rPr>
            </w:pPr>
            <w:r w:rsidRPr="00382E0E">
              <w:rPr>
                <w:b/>
              </w:rPr>
              <w:t>Document Reference:</w:t>
            </w:r>
          </w:p>
        </w:tc>
        <w:tc>
          <w:tcPr>
            <w:tcW w:w="6057" w:type="dxa"/>
            <w:shd w:val="clear" w:color="auto" w:fill="auto"/>
          </w:tcPr>
          <w:p w14:paraId="67B5F27C" w14:textId="77777777" w:rsidR="00BA3A1D" w:rsidRPr="00A13FC6" w:rsidRDefault="00BA3A1D" w:rsidP="00A13FC6"/>
        </w:tc>
      </w:tr>
      <w:tr w:rsidR="00BA3A1D" w:rsidRPr="00382E0E" w14:paraId="30E508E2" w14:textId="77777777" w:rsidTr="00382E0E">
        <w:tc>
          <w:tcPr>
            <w:tcW w:w="3531" w:type="dxa"/>
            <w:shd w:val="clear" w:color="auto" w:fill="D9D9D9"/>
          </w:tcPr>
          <w:p w14:paraId="7297A9EC" w14:textId="77777777" w:rsidR="00BA3A1D" w:rsidRPr="00382E0E" w:rsidRDefault="00BA3A1D" w:rsidP="00702112">
            <w:pPr>
              <w:rPr>
                <w:b/>
                <w:caps/>
              </w:rPr>
            </w:pPr>
            <w:r w:rsidRPr="00382E0E">
              <w:rPr>
                <w:b/>
              </w:rPr>
              <w:t>Current Version Number:</w:t>
            </w:r>
          </w:p>
        </w:tc>
        <w:tc>
          <w:tcPr>
            <w:tcW w:w="6057" w:type="dxa"/>
            <w:shd w:val="clear" w:color="auto" w:fill="auto"/>
          </w:tcPr>
          <w:p w14:paraId="3F5EBF7E" w14:textId="77777777" w:rsidR="00BA3A1D" w:rsidRPr="00A13FC6" w:rsidRDefault="00FA282F" w:rsidP="006204E2">
            <w:r>
              <w:t xml:space="preserve">Version </w:t>
            </w:r>
            <w:r w:rsidR="006204E2">
              <w:t>2</w:t>
            </w:r>
          </w:p>
        </w:tc>
      </w:tr>
      <w:tr w:rsidR="00BA3A1D" w:rsidRPr="00382E0E" w14:paraId="2585A1DE" w14:textId="77777777" w:rsidTr="00382E0E">
        <w:tc>
          <w:tcPr>
            <w:tcW w:w="3531" w:type="dxa"/>
            <w:shd w:val="clear" w:color="auto" w:fill="D9D9D9"/>
          </w:tcPr>
          <w:p w14:paraId="5D92A436" w14:textId="77777777" w:rsidR="00BA3A1D" w:rsidRPr="00382E0E" w:rsidRDefault="00BA3A1D" w:rsidP="00702112">
            <w:pPr>
              <w:rPr>
                <w:b/>
                <w:caps/>
              </w:rPr>
            </w:pPr>
            <w:r w:rsidRPr="00382E0E">
              <w:rPr>
                <w:b/>
              </w:rPr>
              <w:t>Current Document Approved By:</w:t>
            </w:r>
          </w:p>
        </w:tc>
        <w:tc>
          <w:tcPr>
            <w:tcW w:w="6057" w:type="dxa"/>
            <w:shd w:val="clear" w:color="auto" w:fill="auto"/>
          </w:tcPr>
          <w:p w14:paraId="5DB28AD9" w14:textId="77777777" w:rsidR="00BA3A1D" w:rsidRPr="00A13FC6" w:rsidRDefault="00FA282F" w:rsidP="00A13FC6">
            <w:r>
              <w:t>Dr Dubb</w:t>
            </w:r>
          </w:p>
        </w:tc>
      </w:tr>
      <w:tr w:rsidR="00BA3A1D" w:rsidRPr="00382E0E" w14:paraId="3121E8C9" w14:textId="77777777" w:rsidTr="00382E0E">
        <w:tc>
          <w:tcPr>
            <w:tcW w:w="3531" w:type="dxa"/>
            <w:shd w:val="clear" w:color="auto" w:fill="D9D9D9"/>
          </w:tcPr>
          <w:p w14:paraId="129F7EDE" w14:textId="77777777" w:rsidR="00BA3A1D" w:rsidRPr="00382E0E" w:rsidRDefault="00BA3A1D" w:rsidP="00702112">
            <w:pPr>
              <w:rPr>
                <w:b/>
              </w:rPr>
            </w:pPr>
            <w:r w:rsidRPr="00382E0E">
              <w:rPr>
                <w:b/>
              </w:rPr>
              <w:t>Date Approved:</w:t>
            </w:r>
          </w:p>
        </w:tc>
        <w:tc>
          <w:tcPr>
            <w:tcW w:w="6057" w:type="dxa"/>
            <w:shd w:val="clear" w:color="auto" w:fill="auto"/>
          </w:tcPr>
          <w:p w14:paraId="0BD2CD7D" w14:textId="77777777" w:rsidR="00BA3A1D" w:rsidRPr="00A13FC6" w:rsidRDefault="00BA3A1D" w:rsidP="00A97CE7"/>
        </w:tc>
      </w:tr>
    </w:tbl>
    <w:p w14:paraId="7CEC3F95" w14:textId="77777777" w:rsidR="00BA3A1D" w:rsidRPr="001E676D" w:rsidRDefault="00BA3A1D" w:rsidP="00BA3A1D">
      <w:pPr>
        <w:rPr>
          <w:sz w:val="20"/>
          <w:szCs w:val="20"/>
        </w:rPr>
      </w:pPr>
    </w:p>
    <w:p w14:paraId="0E502BCC" w14:textId="77777777" w:rsidR="00BA3A1D" w:rsidRPr="005E202B" w:rsidRDefault="00BA3A1D" w:rsidP="00EE41A4">
      <w:pPr>
        <w:pStyle w:val="Heading3"/>
      </w:pPr>
      <w:bookmarkStart w:id="16" w:name="_Toc304206347"/>
      <w:bookmarkStart w:id="17" w:name="_Toc304206531"/>
      <w:bookmarkStart w:id="18" w:name="_Toc304283106"/>
      <w:bookmarkStart w:id="19" w:name="_Toc308186413"/>
      <w:bookmarkStart w:id="20" w:name="_Toc359495596"/>
      <w:r>
        <w:t>C.</w:t>
      </w:r>
      <w:r>
        <w:tab/>
      </w:r>
      <w:r w:rsidRPr="005E202B">
        <w:t xml:space="preserve">Document Revision </w:t>
      </w:r>
      <w:r>
        <w:t xml:space="preserve">and Approval </w:t>
      </w:r>
      <w:r w:rsidRPr="005E202B">
        <w:t>History</w:t>
      </w:r>
      <w:bookmarkEnd w:id="16"/>
      <w:bookmarkEnd w:id="17"/>
      <w:bookmarkEnd w:id="18"/>
      <w:bookmarkEnd w:id="19"/>
      <w:bookmarkEnd w:id="20"/>
    </w:p>
    <w:p w14:paraId="34ACDD8B" w14:textId="77777777" w:rsidR="00BA3A1D" w:rsidRPr="001E676D" w:rsidRDefault="00BA3A1D" w:rsidP="00BA3A1D">
      <w:pPr>
        <w:rPr>
          <w:sz w:val="20"/>
          <w:szCs w:val="20"/>
        </w:rPr>
      </w:pPr>
    </w:p>
    <w:tbl>
      <w:tblPr>
        <w:tblW w:w="958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384"/>
        <w:gridCol w:w="1701"/>
        <w:gridCol w:w="1843"/>
        <w:gridCol w:w="1900"/>
        <w:gridCol w:w="2760"/>
      </w:tblGrid>
      <w:tr w:rsidR="001E676D" w:rsidRPr="00B47CED" w14:paraId="62BEAC60" w14:textId="77777777" w:rsidTr="0065501A">
        <w:tc>
          <w:tcPr>
            <w:tcW w:w="1384" w:type="dxa"/>
            <w:shd w:val="clear" w:color="auto" w:fill="D9D9D9"/>
          </w:tcPr>
          <w:p w14:paraId="66BBEC52" w14:textId="77777777" w:rsidR="001E676D" w:rsidRPr="00B47CED" w:rsidRDefault="001E676D" w:rsidP="00A641E9">
            <w:pPr>
              <w:jc w:val="center"/>
              <w:rPr>
                <w:b/>
              </w:rPr>
            </w:pPr>
            <w:r w:rsidRPr="00B47CED">
              <w:rPr>
                <w:b/>
              </w:rPr>
              <w:t>Version</w:t>
            </w:r>
          </w:p>
        </w:tc>
        <w:tc>
          <w:tcPr>
            <w:tcW w:w="1701" w:type="dxa"/>
            <w:shd w:val="clear" w:color="auto" w:fill="D9D9D9"/>
          </w:tcPr>
          <w:p w14:paraId="5265E2ED" w14:textId="77777777" w:rsidR="001E676D" w:rsidRPr="00B47CED" w:rsidRDefault="001E676D" w:rsidP="00A641E9">
            <w:pPr>
              <w:jc w:val="center"/>
              <w:rPr>
                <w:b/>
              </w:rPr>
            </w:pPr>
            <w:r w:rsidRPr="00B47CED">
              <w:rPr>
                <w:b/>
              </w:rPr>
              <w:t>Date</w:t>
            </w:r>
          </w:p>
        </w:tc>
        <w:tc>
          <w:tcPr>
            <w:tcW w:w="1843" w:type="dxa"/>
            <w:shd w:val="clear" w:color="auto" w:fill="D9D9D9"/>
          </w:tcPr>
          <w:p w14:paraId="29BF6F79" w14:textId="77777777" w:rsidR="001E676D" w:rsidRPr="00B47CED" w:rsidRDefault="001E676D" w:rsidP="00A641E9">
            <w:pPr>
              <w:jc w:val="center"/>
              <w:rPr>
                <w:b/>
              </w:rPr>
            </w:pPr>
            <w:r w:rsidRPr="00B47CED">
              <w:rPr>
                <w:b/>
              </w:rPr>
              <w:t>Version Created By:</w:t>
            </w:r>
          </w:p>
        </w:tc>
        <w:tc>
          <w:tcPr>
            <w:tcW w:w="1900" w:type="dxa"/>
            <w:shd w:val="clear" w:color="auto" w:fill="D9D9D9"/>
          </w:tcPr>
          <w:p w14:paraId="30243279" w14:textId="77777777" w:rsidR="001E676D" w:rsidRPr="00B47CED" w:rsidRDefault="001E676D" w:rsidP="00A641E9">
            <w:pPr>
              <w:jc w:val="center"/>
              <w:rPr>
                <w:b/>
              </w:rPr>
            </w:pPr>
            <w:r w:rsidRPr="00B47CED">
              <w:rPr>
                <w:b/>
              </w:rPr>
              <w:t>Version Approved By:</w:t>
            </w:r>
          </w:p>
        </w:tc>
        <w:tc>
          <w:tcPr>
            <w:tcW w:w="2760" w:type="dxa"/>
            <w:shd w:val="clear" w:color="auto" w:fill="D9D9D9"/>
          </w:tcPr>
          <w:p w14:paraId="77B12AAA" w14:textId="77777777" w:rsidR="001E676D" w:rsidRPr="00B47CED" w:rsidRDefault="001E676D" w:rsidP="00A641E9">
            <w:pPr>
              <w:jc w:val="center"/>
              <w:rPr>
                <w:b/>
              </w:rPr>
            </w:pPr>
            <w:r w:rsidRPr="00B47CED">
              <w:rPr>
                <w:b/>
              </w:rPr>
              <w:t>Comments</w:t>
            </w:r>
          </w:p>
        </w:tc>
      </w:tr>
      <w:tr w:rsidR="001E676D" w14:paraId="3F83660C" w14:textId="77777777" w:rsidTr="00A97CE7">
        <w:tc>
          <w:tcPr>
            <w:tcW w:w="1384" w:type="dxa"/>
            <w:shd w:val="clear" w:color="auto" w:fill="auto"/>
          </w:tcPr>
          <w:p w14:paraId="47E7B903" w14:textId="77777777" w:rsidR="001E676D" w:rsidRPr="00B47CED" w:rsidRDefault="00FA282F" w:rsidP="00A641E9">
            <w:pPr>
              <w:rPr>
                <w:sz w:val="20"/>
                <w:szCs w:val="20"/>
              </w:rPr>
            </w:pPr>
            <w:r>
              <w:rPr>
                <w:sz w:val="20"/>
                <w:szCs w:val="20"/>
              </w:rPr>
              <w:t xml:space="preserve">Version 1 </w:t>
            </w:r>
          </w:p>
        </w:tc>
        <w:tc>
          <w:tcPr>
            <w:tcW w:w="1701" w:type="dxa"/>
            <w:shd w:val="clear" w:color="auto" w:fill="auto"/>
          </w:tcPr>
          <w:p w14:paraId="1FB195A3" w14:textId="77777777" w:rsidR="001E676D" w:rsidRPr="00B47CED" w:rsidRDefault="008233ED" w:rsidP="00A641E9">
            <w:pPr>
              <w:rPr>
                <w:sz w:val="20"/>
                <w:szCs w:val="20"/>
              </w:rPr>
            </w:pPr>
            <w:r>
              <w:rPr>
                <w:sz w:val="20"/>
                <w:szCs w:val="20"/>
              </w:rPr>
              <w:t>01 Dec 2018</w:t>
            </w:r>
          </w:p>
        </w:tc>
        <w:tc>
          <w:tcPr>
            <w:tcW w:w="1843" w:type="dxa"/>
            <w:shd w:val="clear" w:color="auto" w:fill="auto"/>
          </w:tcPr>
          <w:p w14:paraId="7AC6571E" w14:textId="77777777" w:rsidR="001E676D" w:rsidRPr="00B47CED" w:rsidRDefault="008233ED" w:rsidP="00A641E9">
            <w:pPr>
              <w:rPr>
                <w:sz w:val="20"/>
                <w:szCs w:val="20"/>
              </w:rPr>
            </w:pPr>
            <w:r>
              <w:rPr>
                <w:sz w:val="20"/>
                <w:szCs w:val="20"/>
              </w:rPr>
              <w:t>Kiran Dubb</w:t>
            </w:r>
          </w:p>
        </w:tc>
        <w:tc>
          <w:tcPr>
            <w:tcW w:w="1900" w:type="dxa"/>
            <w:shd w:val="clear" w:color="auto" w:fill="auto"/>
          </w:tcPr>
          <w:p w14:paraId="26090FFD" w14:textId="77777777" w:rsidR="001E676D" w:rsidRPr="00B47CED" w:rsidRDefault="0080239B" w:rsidP="00A641E9">
            <w:pPr>
              <w:rPr>
                <w:sz w:val="20"/>
                <w:szCs w:val="20"/>
              </w:rPr>
            </w:pPr>
            <w:r>
              <w:rPr>
                <w:sz w:val="20"/>
                <w:szCs w:val="20"/>
              </w:rPr>
              <w:t>Dr Dubb</w:t>
            </w:r>
          </w:p>
        </w:tc>
        <w:tc>
          <w:tcPr>
            <w:tcW w:w="2760" w:type="dxa"/>
            <w:shd w:val="clear" w:color="auto" w:fill="auto"/>
          </w:tcPr>
          <w:p w14:paraId="44B71A94" w14:textId="77777777" w:rsidR="001E676D" w:rsidRPr="00B47CED" w:rsidRDefault="001E676D" w:rsidP="00A641E9">
            <w:pPr>
              <w:rPr>
                <w:sz w:val="20"/>
                <w:szCs w:val="20"/>
              </w:rPr>
            </w:pPr>
          </w:p>
        </w:tc>
      </w:tr>
      <w:tr w:rsidR="001E676D" w14:paraId="67DCAFCF" w14:textId="77777777" w:rsidTr="00A97CE7">
        <w:tc>
          <w:tcPr>
            <w:tcW w:w="1384" w:type="dxa"/>
            <w:shd w:val="clear" w:color="auto" w:fill="auto"/>
          </w:tcPr>
          <w:p w14:paraId="2EEEC2BC" w14:textId="77777777" w:rsidR="001E676D" w:rsidRPr="00B47CED" w:rsidRDefault="008233ED" w:rsidP="00A641E9">
            <w:pPr>
              <w:rPr>
                <w:sz w:val="20"/>
                <w:szCs w:val="20"/>
              </w:rPr>
            </w:pPr>
            <w:r>
              <w:rPr>
                <w:sz w:val="20"/>
                <w:szCs w:val="20"/>
              </w:rPr>
              <w:t>Version 2</w:t>
            </w:r>
          </w:p>
        </w:tc>
        <w:tc>
          <w:tcPr>
            <w:tcW w:w="1701" w:type="dxa"/>
            <w:shd w:val="clear" w:color="auto" w:fill="auto"/>
          </w:tcPr>
          <w:p w14:paraId="18B1811D" w14:textId="77777777" w:rsidR="001E676D" w:rsidRPr="00B47CED" w:rsidRDefault="008233ED" w:rsidP="00A641E9">
            <w:pPr>
              <w:rPr>
                <w:sz w:val="20"/>
                <w:szCs w:val="20"/>
              </w:rPr>
            </w:pPr>
            <w:r>
              <w:rPr>
                <w:sz w:val="20"/>
                <w:szCs w:val="20"/>
              </w:rPr>
              <w:t>27 July 2020</w:t>
            </w:r>
          </w:p>
        </w:tc>
        <w:tc>
          <w:tcPr>
            <w:tcW w:w="1843" w:type="dxa"/>
            <w:shd w:val="clear" w:color="auto" w:fill="auto"/>
          </w:tcPr>
          <w:p w14:paraId="6CB2EEB4" w14:textId="77777777" w:rsidR="001E676D" w:rsidRPr="00B47CED" w:rsidRDefault="008233ED" w:rsidP="00A641E9">
            <w:pPr>
              <w:rPr>
                <w:sz w:val="20"/>
                <w:szCs w:val="20"/>
              </w:rPr>
            </w:pPr>
            <w:r>
              <w:rPr>
                <w:sz w:val="20"/>
                <w:szCs w:val="20"/>
              </w:rPr>
              <w:t>Carl Bradley</w:t>
            </w:r>
          </w:p>
        </w:tc>
        <w:tc>
          <w:tcPr>
            <w:tcW w:w="1900" w:type="dxa"/>
            <w:shd w:val="clear" w:color="auto" w:fill="auto"/>
          </w:tcPr>
          <w:p w14:paraId="277C5FEF" w14:textId="77777777" w:rsidR="001E676D" w:rsidRPr="00B47CED" w:rsidRDefault="008233ED" w:rsidP="00A641E9">
            <w:pPr>
              <w:rPr>
                <w:sz w:val="20"/>
                <w:szCs w:val="20"/>
              </w:rPr>
            </w:pPr>
            <w:r>
              <w:rPr>
                <w:sz w:val="20"/>
                <w:szCs w:val="20"/>
              </w:rPr>
              <w:t>Dr Dubb</w:t>
            </w:r>
          </w:p>
        </w:tc>
        <w:tc>
          <w:tcPr>
            <w:tcW w:w="2760" w:type="dxa"/>
            <w:shd w:val="clear" w:color="auto" w:fill="auto"/>
          </w:tcPr>
          <w:p w14:paraId="69792711" w14:textId="77777777" w:rsidR="001E676D" w:rsidRPr="00B47CED" w:rsidRDefault="008233ED" w:rsidP="008233ED">
            <w:pPr>
              <w:rPr>
                <w:sz w:val="20"/>
                <w:szCs w:val="20"/>
              </w:rPr>
            </w:pPr>
            <w:r>
              <w:rPr>
                <w:sz w:val="20"/>
                <w:szCs w:val="20"/>
              </w:rPr>
              <w:t>KLOE’s added.</w:t>
            </w:r>
          </w:p>
        </w:tc>
      </w:tr>
      <w:tr w:rsidR="001E676D" w14:paraId="2794F11F" w14:textId="77777777" w:rsidTr="00A97CE7">
        <w:tc>
          <w:tcPr>
            <w:tcW w:w="1384" w:type="dxa"/>
            <w:shd w:val="clear" w:color="auto" w:fill="auto"/>
          </w:tcPr>
          <w:p w14:paraId="185182FA" w14:textId="77777777" w:rsidR="001E676D" w:rsidRPr="00B47CED" w:rsidRDefault="001E676D" w:rsidP="00A641E9">
            <w:pPr>
              <w:rPr>
                <w:sz w:val="20"/>
                <w:szCs w:val="20"/>
              </w:rPr>
            </w:pPr>
          </w:p>
        </w:tc>
        <w:tc>
          <w:tcPr>
            <w:tcW w:w="1701" w:type="dxa"/>
            <w:shd w:val="clear" w:color="auto" w:fill="auto"/>
          </w:tcPr>
          <w:p w14:paraId="0A1A5E15" w14:textId="77777777" w:rsidR="001E676D" w:rsidRPr="00B47CED" w:rsidRDefault="001E676D" w:rsidP="00A641E9">
            <w:pPr>
              <w:rPr>
                <w:sz w:val="20"/>
                <w:szCs w:val="20"/>
              </w:rPr>
            </w:pPr>
          </w:p>
        </w:tc>
        <w:tc>
          <w:tcPr>
            <w:tcW w:w="1843" w:type="dxa"/>
            <w:shd w:val="clear" w:color="auto" w:fill="auto"/>
          </w:tcPr>
          <w:p w14:paraId="3097F404" w14:textId="77777777" w:rsidR="001E676D" w:rsidRPr="00B47CED" w:rsidRDefault="001E676D" w:rsidP="00A641E9">
            <w:pPr>
              <w:rPr>
                <w:sz w:val="20"/>
                <w:szCs w:val="20"/>
              </w:rPr>
            </w:pPr>
          </w:p>
        </w:tc>
        <w:tc>
          <w:tcPr>
            <w:tcW w:w="1900" w:type="dxa"/>
            <w:shd w:val="clear" w:color="auto" w:fill="auto"/>
          </w:tcPr>
          <w:p w14:paraId="5079139F" w14:textId="77777777" w:rsidR="001E676D" w:rsidRPr="00B47CED" w:rsidRDefault="001E676D" w:rsidP="00A641E9">
            <w:pPr>
              <w:rPr>
                <w:sz w:val="20"/>
                <w:szCs w:val="20"/>
              </w:rPr>
            </w:pPr>
          </w:p>
        </w:tc>
        <w:tc>
          <w:tcPr>
            <w:tcW w:w="2760" w:type="dxa"/>
            <w:shd w:val="clear" w:color="auto" w:fill="auto"/>
          </w:tcPr>
          <w:p w14:paraId="4FF29041" w14:textId="77777777" w:rsidR="001E676D" w:rsidRPr="00B47CED" w:rsidRDefault="001E676D" w:rsidP="00A641E9">
            <w:pPr>
              <w:rPr>
                <w:sz w:val="20"/>
                <w:szCs w:val="20"/>
              </w:rPr>
            </w:pPr>
          </w:p>
        </w:tc>
      </w:tr>
      <w:tr w:rsidR="001E676D" w14:paraId="3A24B680" w14:textId="77777777" w:rsidTr="00A97CE7">
        <w:tc>
          <w:tcPr>
            <w:tcW w:w="1384" w:type="dxa"/>
            <w:shd w:val="clear" w:color="auto" w:fill="auto"/>
          </w:tcPr>
          <w:p w14:paraId="17F2EE22" w14:textId="77777777" w:rsidR="001E676D" w:rsidRPr="00B47CED" w:rsidRDefault="001E676D" w:rsidP="00A641E9">
            <w:pPr>
              <w:rPr>
                <w:sz w:val="20"/>
                <w:szCs w:val="20"/>
              </w:rPr>
            </w:pPr>
          </w:p>
        </w:tc>
        <w:tc>
          <w:tcPr>
            <w:tcW w:w="1701" w:type="dxa"/>
            <w:shd w:val="clear" w:color="auto" w:fill="auto"/>
          </w:tcPr>
          <w:p w14:paraId="5DA646D9" w14:textId="77777777" w:rsidR="001E676D" w:rsidRPr="00B47CED" w:rsidRDefault="001E676D" w:rsidP="00A641E9">
            <w:pPr>
              <w:rPr>
                <w:sz w:val="20"/>
                <w:szCs w:val="20"/>
              </w:rPr>
            </w:pPr>
          </w:p>
        </w:tc>
        <w:tc>
          <w:tcPr>
            <w:tcW w:w="1843" w:type="dxa"/>
            <w:shd w:val="clear" w:color="auto" w:fill="auto"/>
          </w:tcPr>
          <w:p w14:paraId="4EF8CB06" w14:textId="77777777" w:rsidR="001E676D" w:rsidRPr="00B47CED" w:rsidRDefault="001E676D" w:rsidP="00A641E9">
            <w:pPr>
              <w:rPr>
                <w:sz w:val="20"/>
                <w:szCs w:val="20"/>
              </w:rPr>
            </w:pPr>
          </w:p>
        </w:tc>
        <w:tc>
          <w:tcPr>
            <w:tcW w:w="1900" w:type="dxa"/>
            <w:shd w:val="clear" w:color="auto" w:fill="auto"/>
          </w:tcPr>
          <w:p w14:paraId="39917701" w14:textId="77777777" w:rsidR="001E676D" w:rsidRPr="00B47CED" w:rsidRDefault="001E676D" w:rsidP="00A641E9">
            <w:pPr>
              <w:rPr>
                <w:sz w:val="20"/>
                <w:szCs w:val="20"/>
              </w:rPr>
            </w:pPr>
          </w:p>
        </w:tc>
        <w:tc>
          <w:tcPr>
            <w:tcW w:w="2760" w:type="dxa"/>
            <w:shd w:val="clear" w:color="auto" w:fill="auto"/>
          </w:tcPr>
          <w:p w14:paraId="1C8F2254" w14:textId="77777777" w:rsidR="001E676D" w:rsidRPr="00B47CED" w:rsidRDefault="001E676D" w:rsidP="00A641E9">
            <w:pPr>
              <w:rPr>
                <w:sz w:val="20"/>
                <w:szCs w:val="20"/>
              </w:rPr>
            </w:pPr>
          </w:p>
        </w:tc>
      </w:tr>
      <w:tr w:rsidR="001E676D" w14:paraId="7AA0D233" w14:textId="77777777" w:rsidTr="00A97CE7">
        <w:tc>
          <w:tcPr>
            <w:tcW w:w="1384" w:type="dxa"/>
            <w:shd w:val="clear" w:color="auto" w:fill="auto"/>
          </w:tcPr>
          <w:p w14:paraId="2D7A1901" w14:textId="77777777" w:rsidR="001E676D" w:rsidRPr="00B47CED" w:rsidRDefault="001E676D" w:rsidP="00A641E9">
            <w:pPr>
              <w:rPr>
                <w:sz w:val="20"/>
                <w:szCs w:val="20"/>
              </w:rPr>
            </w:pPr>
          </w:p>
        </w:tc>
        <w:tc>
          <w:tcPr>
            <w:tcW w:w="1701" w:type="dxa"/>
            <w:shd w:val="clear" w:color="auto" w:fill="auto"/>
          </w:tcPr>
          <w:p w14:paraId="401E004C" w14:textId="77777777" w:rsidR="001E676D" w:rsidRPr="00B47CED" w:rsidRDefault="001E676D" w:rsidP="00A641E9">
            <w:pPr>
              <w:rPr>
                <w:sz w:val="20"/>
                <w:szCs w:val="20"/>
              </w:rPr>
            </w:pPr>
          </w:p>
        </w:tc>
        <w:tc>
          <w:tcPr>
            <w:tcW w:w="1843" w:type="dxa"/>
            <w:shd w:val="clear" w:color="auto" w:fill="auto"/>
          </w:tcPr>
          <w:p w14:paraId="59FE41A5" w14:textId="77777777" w:rsidR="001E676D" w:rsidRPr="00B47CED" w:rsidRDefault="001E676D" w:rsidP="00A641E9">
            <w:pPr>
              <w:rPr>
                <w:sz w:val="20"/>
                <w:szCs w:val="20"/>
              </w:rPr>
            </w:pPr>
          </w:p>
        </w:tc>
        <w:tc>
          <w:tcPr>
            <w:tcW w:w="1900" w:type="dxa"/>
            <w:shd w:val="clear" w:color="auto" w:fill="auto"/>
          </w:tcPr>
          <w:p w14:paraId="0A292F36" w14:textId="77777777" w:rsidR="001E676D" w:rsidRPr="00B47CED" w:rsidRDefault="001E676D" w:rsidP="00A641E9">
            <w:pPr>
              <w:rPr>
                <w:sz w:val="20"/>
                <w:szCs w:val="20"/>
              </w:rPr>
            </w:pPr>
          </w:p>
        </w:tc>
        <w:tc>
          <w:tcPr>
            <w:tcW w:w="2760" w:type="dxa"/>
            <w:shd w:val="clear" w:color="auto" w:fill="auto"/>
          </w:tcPr>
          <w:p w14:paraId="6904DD0B" w14:textId="77777777" w:rsidR="001E676D" w:rsidRPr="00B47CED" w:rsidRDefault="001E676D" w:rsidP="00A641E9">
            <w:pPr>
              <w:rPr>
                <w:sz w:val="20"/>
                <w:szCs w:val="20"/>
              </w:rPr>
            </w:pPr>
          </w:p>
        </w:tc>
      </w:tr>
      <w:tr w:rsidR="001E676D" w14:paraId="47A52FD2" w14:textId="77777777" w:rsidTr="00A97CE7">
        <w:tc>
          <w:tcPr>
            <w:tcW w:w="1384" w:type="dxa"/>
            <w:shd w:val="clear" w:color="auto" w:fill="auto"/>
          </w:tcPr>
          <w:p w14:paraId="06ACDB41" w14:textId="77777777" w:rsidR="001E676D" w:rsidRPr="00B47CED" w:rsidRDefault="001E676D" w:rsidP="00A641E9">
            <w:pPr>
              <w:rPr>
                <w:sz w:val="20"/>
                <w:szCs w:val="20"/>
              </w:rPr>
            </w:pPr>
          </w:p>
        </w:tc>
        <w:tc>
          <w:tcPr>
            <w:tcW w:w="1701" w:type="dxa"/>
            <w:shd w:val="clear" w:color="auto" w:fill="auto"/>
          </w:tcPr>
          <w:p w14:paraId="3063EF4E" w14:textId="77777777" w:rsidR="001E676D" w:rsidRPr="00B47CED" w:rsidRDefault="001E676D" w:rsidP="00A641E9">
            <w:pPr>
              <w:rPr>
                <w:sz w:val="20"/>
                <w:szCs w:val="20"/>
              </w:rPr>
            </w:pPr>
          </w:p>
        </w:tc>
        <w:tc>
          <w:tcPr>
            <w:tcW w:w="1843" w:type="dxa"/>
            <w:shd w:val="clear" w:color="auto" w:fill="auto"/>
          </w:tcPr>
          <w:p w14:paraId="04E06100" w14:textId="77777777" w:rsidR="001E676D" w:rsidRPr="00B47CED" w:rsidRDefault="001E676D" w:rsidP="00A641E9">
            <w:pPr>
              <w:rPr>
                <w:sz w:val="20"/>
                <w:szCs w:val="20"/>
              </w:rPr>
            </w:pPr>
          </w:p>
        </w:tc>
        <w:tc>
          <w:tcPr>
            <w:tcW w:w="1900" w:type="dxa"/>
            <w:shd w:val="clear" w:color="auto" w:fill="auto"/>
          </w:tcPr>
          <w:p w14:paraId="2EF5F26D" w14:textId="77777777" w:rsidR="001E676D" w:rsidRPr="00B47CED" w:rsidRDefault="001E676D" w:rsidP="00A641E9">
            <w:pPr>
              <w:rPr>
                <w:sz w:val="20"/>
                <w:szCs w:val="20"/>
              </w:rPr>
            </w:pPr>
          </w:p>
        </w:tc>
        <w:tc>
          <w:tcPr>
            <w:tcW w:w="2760" w:type="dxa"/>
            <w:shd w:val="clear" w:color="auto" w:fill="auto"/>
          </w:tcPr>
          <w:p w14:paraId="2C6206A2" w14:textId="77777777" w:rsidR="001E676D" w:rsidRPr="00B47CED" w:rsidRDefault="001E676D" w:rsidP="00A641E9">
            <w:pPr>
              <w:rPr>
                <w:sz w:val="20"/>
                <w:szCs w:val="20"/>
              </w:rPr>
            </w:pPr>
          </w:p>
        </w:tc>
      </w:tr>
      <w:tr w:rsidR="001E676D" w14:paraId="537747E5" w14:textId="77777777" w:rsidTr="00A97CE7">
        <w:tc>
          <w:tcPr>
            <w:tcW w:w="1384" w:type="dxa"/>
            <w:shd w:val="clear" w:color="auto" w:fill="auto"/>
          </w:tcPr>
          <w:p w14:paraId="27286342" w14:textId="77777777" w:rsidR="001E676D" w:rsidRPr="00B47CED" w:rsidRDefault="001E676D" w:rsidP="00A641E9">
            <w:pPr>
              <w:rPr>
                <w:sz w:val="20"/>
                <w:szCs w:val="20"/>
              </w:rPr>
            </w:pPr>
          </w:p>
        </w:tc>
        <w:tc>
          <w:tcPr>
            <w:tcW w:w="1701" w:type="dxa"/>
            <w:shd w:val="clear" w:color="auto" w:fill="auto"/>
          </w:tcPr>
          <w:p w14:paraId="537497E4" w14:textId="77777777" w:rsidR="001E676D" w:rsidRPr="00B47CED" w:rsidRDefault="001E676D" w:rsidP="00A641E9">
            <w:pPr>
              <w:rPr>
                <w:sz w:val="20"/>
                <w:szCs w:val="20"/>
              </w:rPr>
            </w:pPr>
          </w:p>
        </w:tc>
        <w:tc>
          <w:tcPr>
            <w:tcW w:w="1843" w:type="dxa"/>
            <w:shd w:val="clear" w:color="auto" w:fill="auto"/>
          </w:tcPr>
          <w:p w14:paraId="3AF3F985" w14:textId="77777777" w:rsidR="001E676D" w:rsidRPr="00B47CED" w:rsidRDefault="001E676D" w:rsidP="00A641E9">
            <w:pPr>
              <w:rPr>
                <w:sz w:val="20"/>
                <w:szCs w:val="20"/>
              </w:rPr>
            </w:pPr>
          </w:p>
        </w:tc>
        <w:tc>
          <w:tcPr>
            <w:tcW w:w="1900" w:type="dxa"/>
            <w:shd w:val="clear" w:color="auto" w:fill="auto"/>
          </w:tcPr>
          <w:p w14:paraId="3CB8282D" w14:textId="77777777" w:rsidR="001E676D" w:rsidRPr="00B47CED" w:rsidRDefault="001E676D" w:rsidP="00A641E9">
            <w:pPr>
              <w:rPr>
                <w:sz w:val="20"/>
                <w:szCs w:val="20"/>
              </w:rPr>
            </w:pPr>
          </w:p>
        </w:tc>
        <w:tc>
          <w:tcPr>
            <w:tcW w:w="2760" w:type="dxa"/>
            <w:shd w:val="clear" w:color="auto" w:fill="auto"/>
          </w:tcPr>
          <w:p w14:paraId="7FEA1D69" w14:textId="77777777" w:rsidR="001E676D" w:rsidRPr="00B47CED" w:rsidRDefault="001E676D" w:rsidP="00A641E9">
            <w:pPr>
              <w:rPr>
                <w:sz w:val="20"/>
                <w:szCs w:val="20"/>
              </w:rPr>
            </w:pPr>
          </w:p>
        </w:tc>
      </w:tr>
      <w:tr w:rsidR="001E676D" w14:paraId="4F35E618" w14:textId="77777777" w:rsidTr="00A97CE7">
        <w:tc>
          <w:tcPr>
            <w:tcW w:w="1384" w:type="dxa"/>
            <w:shd w:val="clear" w:color="auto" w:fill="auto"/>
          </w:tcPr>
          <w:p w14:paraId="220DF4AF" w14:textId="77777777" w:rsidR="001E676D" w:rsidRPr="00B47CED" w:rsidRDefault="001E676D" w:rsidP="00A641E9">
            <w:pPr>
              <w:rPr>
                <w:sz w:val="20"/>
                <w:szCs w:val="20"/>
              </w:rPr>
            </w:pPr>
          </w:p>
        </w:tc>
        <w:tc>
          <w:tcPr>
            <w:tcW w:w="1701" w:type="dxa"/>
            <w:shd w:val="clear" w:color="auto" w:fill="auto"/>
          </w:tcPr>
          <w:p w14:paraId="0C70A4E9" w14:textId="77777777" w:rsidR="001E676D" w:rsidRPr="00B47CED" w:rsidRDefault="001E676D" w:rsidP="00A641E9">
            <w:pPr>
              <w:rPr>
                <w:sz w:val="20"/>
                <w:szCs w:val="20"/>
              </w:rPr>
            </w:pPr>
          </w:p>
        </w:tc>
        <w:tc>
          <w:tcPr>
            <w:tcW w:w="1843" w:type="dxa"/>
            <w:shd w:val="clear" w:color="auto" w:fill="auto"/>
          </w:tcPr>
          <w:p w14:paraId="58732F1F" w14:textId="77777777" w:rsidR="001E676D" w:rsidRPr="00B47CED" w:rsidRDefault="001E676D" w:rsidP="00A641E9">
            <w:pPr>
              <w:rPr>
                <w:sz w:val="20"/>
                <w:szCs w:val="20"/>
              </w:rPr>
            </w:pPr>
          </w:p>
        </w:tc>
        <w:tc>
          <w:tcPr>
            <w:tcW w:w="1900" w:type="dxa"/>
            <w:shd w:val="clear" w:color="auto" w:fill="auto"/>
          </w:tcPr>
          <w:p w14:paraId="55E3A61B" w14:textId="77777777" w:rsidR="001E676D" w:rsidRPr="00B47CED" w:rsidRDefault="001E676D" w:rsidP="00A641E9">
            <w:pPr>
              <w:rPr>
                <w:sz w:val="20"/>
                <w:szCs w:val="20"/>
              </w:rPr>
            </w:pPr>
          </w:p>
        </w:tc>
        <w:tc>
          <w:tcPr>
            <w:tcW w:w="2760" w:type="dxa"/>
            <w:shd w:val="clear" w:color="auto" w:fill="auto"/>
          </w:tcPr>
          <w:p w14:paraId="19683E97" w14:textId="77777777" w:rsidR="001E676D" w:rsidRPr="00B47CED" w:rsidRDefault="001E676D" w:rsidP="00A641E9">
            <w:pPr>
              <w:rPr>
                <w:sz w:val="20"/>
                <w:szCs w:val="20"/>
              </w:rPr>
            </w:pPr>
          </w:p>
        </w:tc>
      </w:tr>
      <w:tr w:rsidR="001E676D" w14:paraId="3DA3ACB0" w14:textId="77777777" w:rsidTr="00A97CE7">
        <w:tc>
          <w:tcPr>
            <w:tcW w:w="1384" w:type="dxa"/>
            <w:shd w:val="clear" w:color="auto" w:fill="auto"/>
          </w:tcPr>
          <w:p w14:paraId="61C90C3F" w14:textId="77777777" w:rsidR="001E676D" w:rsidRPr="00B47CED" w:rsidRDefault="001E676D" w:rsidP="00A641E9">
            <w:pPr>
              <w:rPr>
                <w:sz w:val="20"/>
                <w:szCs w:val="20"/>
              </w:rPr>
            </w:pPr>
          </w:p>
        </w:tc>
        <w:tc>
          <w:tcPr>
            <w:tcW w:w="1701" w:type="dxa"/>
            <w:shd w:val="clear" w:color="auto" w:fill="auto"/>
          </w:tcPr>
          <w:p w14:paraId="78E7AB71" w14:textId="77777777" w:rsidR="001E676D" w:rsidRPr="00B47CED" w:rsidRDefault="001E676D" w:rsidP="00A641E9">
            <w:pPr>
              <w:rPr>
                <w:sz w:val="20"/>
                <w:szCs w:val="20"/>
              </w:rPr>
            </w:pPr>
          </w:p>
        </w:tc>
        <w:tc>
          <w:tcPr>
            <w:tcW w:w="1843" w:type="dxa"/>
            <w:shd w:val="clear" w:color="auto" w:fill="auto"/>
          </w:tcPr>
          <w:p w14:paraId="6AA91718" w14:textId="77777777" w:rsidR="001E676D" w:rsidRPr="00B47CED" w:rsidRDefault="001E676D" w:rsidP="00A641E9">
            <w:pPr>
              <w:rPr>
                <w:sz w:val="20"/>
                <w:szCs w:val="20"/>
              </w:rPr>
            </w:pPr>
          </w:p>
        </w:tc>
        <w:tc>
          <w:tcPr>
            <w:tcW w:w="1900" w:type="dxa"/>
            <w:shd w:val="clear" w:color="auto" w:fill="auto"/>
          </w:tcPr>
          <w:p w14:paraId="73E7D619" w14:textId="77777777" w:rsidR="001E676D" w:rsidRPr="00B47CED" w:rsidRDefault="001E676D" w:rsidP="00A641E9">
            <w:pPr>
              <w:rPr>
                <w:sz w:val="20"/>
                <w:szCs w:val="20"/>
              </w:rPr>
            </w:pPr>
          </w:p>
        </w:tc>
        <w:tc>
          <w:tcPr>
            <w:tcW w:w="2760" w:type="dxa"/>
            <w:shd w:val="clear" w:color="auto" w:fill="auto"/>
          </w:tcPr>
          <w:p w14:paraId="200D69E1" w14:textId="77777777" w:rsidR="001E676D" w:rsidRPr="00B47CED" w:rsidRDefault="001E676D" w:rsidP="00A641E9">
            <w:pPr>
              <w:rPr>
                <w:sz w:val="20"/>
                <w:szCs w:val="20"/>
              </w:rPr>
            </w:pPr>
          </w:p>
        </w:tc>
      </w:tr>
      <w:tr w:rsidR="001E676D" w14:paraId="09590850" w14:textId="77777777" w:rsidTr="00A97CE7">
        <w:tc>
          <w:tcPr>
            <w:tcW w:w="1384" w:type="dxa"/>
            <w:shd w:val="clear" w:color="auto" w:fill="auto"/>
          </w:tcPr>
          <w:p w14:paraId="4B24AE82" w14:textId="77777777" w:rsidR="001E676D" w:rsidRPr="00B47CED" w:rsidRDefault="001E676D" w:rsidP="00A641E9">
            <w:pPr>
              <w:rPr>
                <w:sz w:val="20"/>
                <w:szCs w:val="20"/>
              </w:rPr>
            </w:pPr>
          </w:p>
        </w:tc>
        <w:tc>
          <w:tcPr>
            <w:tcW w:w="1701" w:type="dxa"/>
            <w:shd w:val="clear" w:color="auto" w:fill="auto"/>
          </w:tcPr>
          <w:p w14:paraId="59479182" w14:textId="77777777" w:rsidR="001E676D" w:rsidRPr="00B47CED" w:rsidRDefault="001E676D" w:rsidP="00A641E9">
            <w:pPr>
              <w:rPr>
                <w:sz w:val="20"/>
                <w:szCs w:val="20"/>
              </w:rPr>
            </w:pPr>
          </w:p>
        </w:tc>
        <w:tc>
          <w:tcPr>
            <w:tcW w:w="1843" w:type="dxa"/>
            <w:shd w:val="clear" w:color="auto" w:fill="auto"/>
          </w:tcPr>
          <w:p w14:paraId="29A611BA" w14:textId="77777777" w:rsidR="001E676D" w:rsidRPr="00B47CED" w:rsidRDefault="001E676D" w:rsidP="00A641E9">
            <w:pPr>
              <w:rPr>
                <w:sz w:val="20"/>
                <w:szCs w:val="20"/>
              </w:rPr>
            </w:pPr>
          </w:p>
        </w:tc>
        <w:tc>
          <w:tcPr>
            <w:tcW w:w="1900" w:type="dxa"/>
            <w:shd w:val="clear" w:color="auto" w:fill="auto"/>
          </w:tcPr>
          <w:p w14:paraId="6302DCD1" w14:textId="77777777" w:rsidR="001E676D" w:rsidRPr="00B47CED" w:rsidRDefault="001E676D" w:rsidP="00A641E9">
            <w:pPr>
              <w:rPr>
                <w:sz w:val="20"/>
                <w:szCs w:val="20"/>
              </w:rPr>
            </w:pPr>
          </w:p>
        </w:tc>
        <w:tc>
          <w:tcPr>
            <w:tcW w:w="2760" w:type="dxa"/>
            <w:shd w:val="clear" w:color="auto" w:fill="auto"/>
          </w:tcPr>
          <w:p w14:paraId="7FDE2C5E" w14:textId="77777777" w:rsidR="001E676D" w:rsidRPr="00B47CED" w:rsidRDefault="001E676D" w:rsidP="00A641E9">
            <w:pPr>
              <w:rPr>
                <w:sz w:val="20"/>
                <w:szCs w:val="20"/>
              </w:rPr>
            </w:pPr>
          </w:p>
        </w:tc>
      </w:tr>
    </w:tbl>
    <w:p w14:paraId="37A0A9C6" w14:textId="77777777" w:rsidR="00144FBF" w:rsidRDefault="00144FBF" w:rsidP="008357F9">
      <w:pPr>
        <w:rPr>
          <w:b/>
        </w:rPr>
      </w:pPr>
    </w:p>
    <w:p w14:paraId="299DDA10" w14:textId="77777777" w:rsidR="006360FD" w:rsidRPr="006360FD" w:rsidRDefault="006360FD" w:rsidP="006360FD">
      <w:pPr>
        <w:jc w:val="center"/>
        <w:rPr>
          <w:rFonts w:eastAsia="Times New Roman" w:cs="Verdana"/>
          <w:bCs/>
          <w:color w:val="auto"/>
          <w:spacing w:val="0"/>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379"/>
      </w:tblGrid>
      <w:tr w:rsidR="008233ED" w:rsidRPr="0023478B" w14:paraId="0BCA14EF" w14:textId="77777777" w:rsidTr="00AC7120">
        <w:tc>
          <w:tcPr>
            <w:tcW w:w="9606" w:type="dxa"/>
            <w:gridSpan w:val="2"/>
            <w:shd w:val="clear" w:color="auto" w:fill="002060"/>
          </w:tcPr>
          <w:p w14:paraId="27C35614" w14:textId="77777777" w:rsidR="008233ED" w:rsidRPr="0023478B" w:rsidRDefault="008233ED" w:rsidP="00AC7120">
            <w:pPr>
              <w:rPr>
                <w:rFonts w:asciiTheme="minorHAnsi" w:hAnsiTheme="minorHAnsi"/>
                <w:color w:val="auto"/>
                <w:lang w:val="en-US" w:bidi="en-US"/>
              </w:rPr>
            </w:pPr>
            <w:r w:rsidRPr="0023478B">
              <w:rPr>
                <w:rFonts w:asciiTheme="minorHAnsi" w:hAnsiTheme="minorHAnsi"/>
                <w:color w:val="auto"/>
                <w:lang w:val="en-US" w:bidi="en-US"/>
              </w:rPr>
              <w:t>CQC KLOE</w:t>
            </w:r>
          </w:p>
        </w:tc>
      </w:tr>
      <w:tr w:rsidR="008233ED" w:rsidRPr="0023478B" w14:paraId="62C8B13F" w14:textId="77777777" w:rsidTr="00AC7120">
        <w:tc>
          <w:tcPr>
            <w:tcW w:w="3227" w:type="dxa"/>
          </w:tcPr>
          <w:p w14:paraId="6291DC3B" w14:textId="77777777" w:rsidR="008233ED" w:rsidRPr="0023478B" w:rsidRDefault="008233ED" w:rsidP="00AC7120">
            <w:pPr>
              <w:rPr>
                <w:rFonts w:asciiTheme="minorHAnsi" w:hAnsiTheme="minorHAnsi"/>
                <w:color w:val="auto"/>
                <w:lang w:val="en-US" w:bidi="en-US"/>
              </w:rPr>
            </w:pPr>
          </w:p>
        </w:tc>
        <w:tc>
          <w:tcPr>
            <w:tcW w:w="6379" w:type="dxa"/>
          </w:tcPr>
          <w:p w14:paraId="10BAA13F" w14:textId="77777777" w:rsidR="008233ED" w:rsidRPr="0023478B" w:rsidRDefault="008233ED" w:rsidP="00AC7120">
            <w:pPr>
              <w:rPr>
                <w:rFonts w:asciiTheme="minorHAnsi" w:hAnsiTheme="minorHAnsi"/>
                <w:color w:val="auto"/>
                <w:lang w:val="en-US" w:bidi="en-US"/>
              </w:rPr>
            </w:pPr>
            <w:r w:rsidRPr="0023478B">
              <w:rPr>
                <w:rFonts w:asciiTheme="minorHAnsi" w:hAnsiTheme="minorHAnsi"/>
                <w:color w:val="auto"/>
                <w:lang w:val="en-US" w:bidi="en-US"/>
              </w:rPr>
              <w:t>KLOE</w:t>
            </w:r>
          </w:p>
        </w:tc>
      </w:tr>
      <w:tr w:rsidR="008233ED" w:rsidRPr="0023478B" w14:paraId="19027568" w14:textId="77777777" w:rsidTr="00AC7120">
        <w:tc>
          <w:tcPr>
            <w:tcW w:w="3227" w:type="dxa"/>
          </w:tcPr>
          <w:p w14:paraId="4844A30A" w14:textId="77777777" w:rsidR="008233ED" w:rsidRPr="0023478B" w:rsidRDefault="008233ED" w:rsidP="00AC7120">
            <w:pPr>
              <w:rPr>
                <w:rFonts w:asciiTheme="minorHAnsi" w:hAnsiTheme="minorHAnsi"/>
                <w:color w:val="auto"/>
                <w:lang w:val="en-US" w:bidi="en-US"/>
              </w:rPr>
            </w:pPr>
            <w:r>
              <w:rPr>
                <w:rFonts w:asciiTheme="minorHAnsi" w:hAnsiTheme="minorHAnsi"/>
                <w:color w:val="auto"/>
                <w:lang w:val="en-US" w:bidi="en-US"/>
              </w:rPr>
              <w:t>W4</w:t>
            </w:r>
          </w:p>
        </w:tc>
        <w:tc>
          <w:tcPr>
            <w:tcW w:w="6379" w:type="dxa"/>
          </w:tcPr>
          <w:p w14:paraId="0C2F98B8" w14:textId="77777777" w:rsidR="008233ED" w:rsidRPr="0023478B" w:rsidRDefault="008233ED" w:rsidP="00AC7120">
            <w:pPr>
              <w:spacing w:after="200" w:line="276" w:lineRule="auto"/>
              <w:rPr>
                <w:rFonts w:asciiTheme="minorHAnsi" w:eastAsia="Calibri" w:hAnsiTheme="minorHAnsi"/>
                <w:color w:val="auto"/>
              </w:rPr>
            </w:pPr>
            <w:r w:rsidRPr="00F41E86">
              <w:rPr>
                <w:rFonts w:asciiTheme="minorHAnsi" w:eastAsia="Calibri" w:hAnsiTheme="minorHAnsi"/>
                <w:color w:val="auto"/>
              </w:rPr>
              <w:t>Are there clear responsibilities, roles and systems of accountability to support good governance and management?</w:t>
            </w:r>
          </w:p>
        </w:tc>
      </w:tr>
      <w:tr w:rsidR="008233ED" w:rsidRPr="0023478B" w14:paraId="33067B13" w14:textId="77777777" w:rsidTr="00AC7120">
        <w:tc>
          <w:tcPr>
            <w:tcW w:w="3227" w:type="dxa"/>
          </w:tcPr>
          <w:p w14:paraId="0E5ED0DB" w14:textId="77777777" w:rsidR="008233ED" w:rsidRPr="0023478B" w:rsidRDefault="008233ED" w:rsidP="00AC7120">
            <w:pPr>
              <w:rPr>
                <w:rFonts w:asciiTheme="minorHAnsi" w:hAnsiTheme="minorHAnsi"/>
                <w:color w:val="auto"/>
                <w:lang w:val="en-US" w:bidi="en-US"/>
              </w:rPr>
            </w:pPr>
            <w:r>
              <w:rPr>
                <w:rFonts w:asciiTheme="minorHAnsi" w:hAnsiTheme="minorHAnsi"/>
                <w:color w:val="auto"/>
                <w:lang w:val="en-US" w:bidi="en-US"/>
              </w:rPr>
              <w:t>W6</w:t>
            </w:r>
          </w:p>
        </w:tc>
        <w:tc>
          <w:tcPr>
            <w:tcW w:w="6379" w:type="dxa"/>
          </w:tcPr>
          <w:p w14:paraId="667F0C44" w14:textId="77777777" w:rsidR="008233ED" w:rsidRPr="0023478B" w:rsidRDefault="008233ED" w:rsidP="00AC7120">
            <w:pPr>
              <w:spacing w:after="200" w:line="276" w:lineRule="auto"/>
              <w:rPr>
                <w:rFonts w:asciiTheme="minorHAnsi" w:eastAsia="Calibri" w:hAnsiTheme="minorHAnsi"/>
                <w:color w:val="auto"/>
              </w:rPr>
            </w:pPr>
            <w:r w:rsidRPr="00F41E86">
              <w:rPr>
                <w:rFonts w:asciiTheme="minorHAnsi" w:eastAsia="Calibri" w:hAnsiTheme="minorHAnsi"/>
                <w:color w:val="auto"/>
              </w:rPr>
              <w:t>Is appropriate and accurate information being effectively processed, challenged and acted on?</w:t>
            </w:r>
          </w:p>
        </w:tc>
      </w:tr>
      <w:tr w:rsidR="008233ED" w:rsidRPr="0023478B" w14:paraId="65A8ABDF" w14:textId="77777777" w:rsidTr="00AC7120">
        <w:tc>
          <w:tcPr>
            <w:tcW w:w="3227" w:type="dxa"/>
          </w:tcPr>
          <w:p w14:paraId="1AAC50BC" w14:textId="77777777" w:rsidR="008233ED" w:rsidRPr="0023478B" w:rsidRDefault="008233ED" w:rsidP="00AC7120">
            <w:pPr>
              <w:rPr>
                <w:rFonts w:asciiTheme="minorHAnsi" w:hAnsiTheme="minorHAnsi"/>
                <w:color w:val="auto"/>
                <w:lang w:val="en-US" w:bidi="en-US"/>
              </w:rPr>
            </w:pPr>
          </w:p>
        </w:tc>
        <w:tc>
          <w:tcPr>
            <w:tcW w:w="6379" w:type="dxa"/>
          </w:tcPr>
          <w:p w14:paraId="5FA2050D" w14:textId="77777777" w:rsidR="008233ED" w:rsidRPr="0023478B" w:rsidRDefault="008233ED" w:rsidP="00AC7120">
            <w:pPr>
              <w:shd w:val="clear" w:color="auto" w:fill="F7F7F7"/>
              <w:spacing w:after="150"/>
              <w:rPr>
                <w:rFonts w:asciiTheme="minorHAnsi" w:eastAsia="Calibri" w:hAnsiTheme="minorHAnsi"/>
                <w:color w:val="auto"/>
              </w:rPr>
            </w:pPr>
          </w:p>
        </w:tc>
      </w:tr>
    </w:tbl>
    <w:p w14:paraId="12D67649" w14:textId="77777777" w:rsidR="008233ED" w:rsidRPr="0023478B" w:rsidRDefault="008233ED" w:rsidP="008233ED">
      <w:pPr>
        <w:jc w:val="center"/>
        <w:rPr>
          <w:rFonts w:asciiTheme="minorHAnsi" w:hAnsiTheme="minorHAnsi" w:cs="Verdana"/>
          <w:bCs/>
          <w:color w:val="auto"/>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2"/>
        <w:gridCol w:w="2662"/>
        <w:gridCol w:w="4962"/>
      </w:tblGrid>
      <w:tr w:rsidR="008233ED" w:rsidRPr="00986E58" w14:paraId="2130A625" w14:textId="77777777" w:rsidTr="00AC7120">
        <w:tc>
          <w:tcPr>
            <w:tcW w:w="9606" w:type="dxa"/>
            <w:gridSpan w:val="3"/>
            <w:shd w:val="clear" w:color="auto" w:fill="002060"/>
          </w:tcPr>
          <w:p w14:paraId="4884940E" w14:textId="77777777" w:rsidR="008233ED" w:rsidRDefault="008233ED" w:rsidP="00AC7120">
            <w:pPr>
              <w:rPr>
                <w:b/>
                <w:color w:val="auto"/>
                <w:lang w:val="en-US" w:bidi="en-US"/>
              </w:rPr>
            </w:pPr>
            <w:r>
              <w:rPr>
                <w:b/>
                <w:color w:val="auto"/>
                <w:lang w:val="en-US" w:bidi="en-US"/>
              </w:rPr>
              <w:t>Approved</w:t>
            </w:r>
          </w:p>
        </w:tc>
      </w:tr>
      <w:tr w:rsidR="008233ED" w:rsidRPr="00986E58" w14:paraId="0666CF60" w14:textId="77777777" w:rsidTr="00AC7120">
        <w:tc>
          <w:tcPr>
            <w:tcW w:w="1982" w:type="dxa"/>
          </w:tcPr>
          <w:p w14:paraId="626290BD" w14:textId="77777777" w:rsidR="008233ED" w:rsidRPr="006508C1" w:rsidRDefault="008233ED" w:rsidP="00AC7120">
            <w:pPr>
              <w:rPr>
                <w:sz w:val="22"/>
                <w:szCs w:val="22"/>
              </w:rPr>
            </w:pPr>
            <w:r>
              <w:rPr>
                <w:sz w:val="22"/>
                <w:szCs w:val="22"/>
              </w:rPr>
              <w:t>Carl Bradley</w:t>
            </w:r>
          </w:p>
        </w:tc>
        <w:tc>
          <w:tcPr>
            <w:tcW w:w="2662" w:type="dxa"/>
          </w:tcPr>
          <w:p w14:paraId="7A577E72" w14:textId="77777777" w:rsidR="008233ED" w:rsidRPr="006508C1" w:rsidRDefault="008233ED" w:rsidP="00AC7120">
            <w:pPr>
              <w:rPr>
                <w:sz w:val="22"/>
                <w:szCs w:val="22"/>
              </w:rPr>
            </w:pPr>
            <w:r w:rsidRPr="006508C1">
              <w:rPr>
                <w:sz w:val="22"/>
                <w:szCs w:val="22"/>
              </w:rPr>
              <w:t>Practice Manager</w:t>
            </w:r>
            <w:r>
              <w:rPr>
                <w:sz w:val="22"/>
                <w:szCs w:val="22"/>
              </w:rPr>
              <w:t xml:space="preserve"> –IG lead</w:t>
            </w:r>
          </w:p>
        </w:tc>
        <w:tc>
          <w:tcPr>
            <w:tcW w:w="4962" w:type="dxa"/>
          </w:tcPr>
          <w:p w14:paraId="099AC8D0" w14:textId="77777777" w:rsidR="008233ED" w:rsidRDefault="008233ED" w:rsidP="00AC7120">
            <w:pPr>
              <w:rPr>
                <w:color w:val="auto"/>
                <w:lang w:val="en-US" w:bidi="en-US"/>
              </w:rPr>
            </w:pPr>
          </w:p>
          <w:p w14:paraId="12168E89" w14:textId="77777777" w:rsidR="008233ED" w:rsidRPr="00986E58" w:rsidRDefault="008233ED" w:rsidP="00AC7120">
            <w:pPr>
              <w:rPr>
                <w:color w:val="auto"/>
                <w:lang w:val="en-US" w:bidi="en-US"/>
              </w:rPr>
            </w:pPr>
          </w:p>
        </w:tc>
      </w:tr>
      <w:tr w:rsidR="008233ED" w:rsidRPr="00986E58" w14:paraId="720B67AA" w14:textId="77777777" w:rsidTr="00AC7120">
        <w:tc>
          <w:tcPr>
            <w:tcW w:w="1982" w:type="dxa"/>
          </w:tcPr>
          <w:p w14:paraId="312E52CB" w14:textId="77777777" w:rsidR="008233ED" w:rsidRDefault="008233ED" w:rsidP="008233ED">
            <w:pPr>
              <w:rPr>
                <w:sz w:val="22"/>
                <w:szCs w:val="22"/>
              </w:rPr>
            </w:pPr>
            <w:r>
              <w:rPr>
                <w:sz w:val="22"/>
                <w:szCs w:val="22"/>
              </w:rPr>
              <w:t>Dr P Dubb</w:t>
            </w:r>
          </w:p>
        </w:tc>
        <w:tc>
          <w:tcPr>
            <w:tcW w:w="2662" w:type="dxa"/>
          </w:tcPr>
          <w:p w14:paraId="592B0312" w14:textId="77777777" w:rsidR="008233ED" w:rsidRPr="006508C1" w:rsidRDefault="008233ED" w:rsidP="00AC7120">
            <w:pPr>
              <w:rPr>
                <w:sz w:val="22"/>
                <w:szCs w:val="22"/>
              </w:rPr>
            </w:pPr>
            <w:r>
              <w:rPr>
                <w:sz w:val="22"/>
                <w:szCs w:val="22"/>
              </w:rPr>
              <w:t>Caldicott Guardian</w:t>
            </w:r>
          </w:p>
        </w:tc>
        <w:tc>
          <w:tcPr>
            <w:tcW w:w="4962" w:type="dxa"/>
          </w:tcPr>
          <w:p w14:paraId="6221B4C2" w14:textId="77777777" w:rsidR="008233ED" w:rsidRDefault="008233ED" w:rsidP="00AC7120">
            <w:pPr>
              <w:rPr>
                <w:color w:val="auto"/>
                <w:lang w:val="en-US" w:bidi="en-US"/>
              </w:rPr>
            </w:pPr>
          </w:p>
          <w:p w14:paraId="422073E8" w14:textId="77777777" w:rsidR="008233ED" w:rsidRPr="00986E58" w:rsidRDefault="008233ED" w:rsidP="00AC7120">
            <w:pPr>
              <w:rPr>
                <w:color w:val="auto"/>
                <w:lang w:val="en-US" w:bidi="en-US"/>
              </w:rPr>
            </w:pPr>
          </w:p>
        </w:tc>
      </w:tr>
    </w:tbl>
    <w:p w14:paraId="3A94E38A" w14:textId="77777777" w:rsidR="008233ED" w:rsidRPr="008F5D56" w:rsidRDefault="008233ED" w:rsidP="008233ED">
      <w:pPr>
        <w:rPr>
          <w:rFonts w:asciiTheme="minorHAnsi" w:hAnsiTheme="minorHAnsi"/>
        </w:rPr>
      </w:pPr>
      <w:r w:rsidRPr="008F5D56">
        <w:rPr>
          <w:rFonts w:asciiTheme="minorHAnsi" w:hAnsiTheme="minorHAnsi" w:cs="Verdana"/>
          <w:b/>
          <w:color w:val="auto"/>
          <w:lang w:val="en-US"/>
        </w:rPr>
        <w:br w:type="page"/>
      </w:r>
    </w:p>
    <w:p w14:paraId="7CE9E57E" w14:textId="77777777" w:rsidR="001E7160" w:rsidRDefault="001E7160" w:rsidP="008233ED">
      <w:pPr>
        <w:rPr>
          <w:rFonts w:asciiTheme="minorHAnsi" w:hAnsiTheme="minorHAnsi"/>
          <w:b/>
          <w:u w:val="single"/>
        </w:rPr>
      </w:pPr>
    </w:p>
    <w:p w14:paraId="3416141A" w14:textId="77777777" w:rsidR="008233ED" w:rsidRPr="00F41E86" w:rsidRDefault="008233ED" w:rsidP="008233ED">
      <w:pPr>
        <w:rPr>
          <w:rFonts w:asciiTheme="minorHAnsi" w:hAnsiTheme="minorHAnsi"/>
          <w:b/>
          <w:u w:val="single"/>
        </w:rPr>
      </w:pPr>
      <w:r w:rsidRPr="00F41E86">
        <w:rPr>
          <w:rFonts w:asciiTheme="minorHAnsi" w:hAnsiTheme="minorHAnsi"/>
          <w:b/>
          <w:u w:val="single"/>
        </w:rPr>
        <w:t>Introduction</w:t>
      </w:r>
    </w:p>
    <w:p w14:paraId="4E0DF0B4" w14:textId="77777777" w:rsidR="008233ED" w:rsidRPr="00F41E86" w:rsidRDefault="008233ED" w:rsidP="008233ED">
      <w:pPr>
        <w:spacing w:after="78"/>
        <w:rPr>
          <w:rFonts w:asciiTheme="minorHAnsi" w:hAnsiTheme="minorHAnsi"/>
        </w:rPr>
      </w:pPr>
      <w:r>
        <w:rPr>
          <w:rFonts w:asciiTheme="minorHAnsi" w:hAnsiTheme="minorHAnsi"/>
        </w:rPr>
        <w:t>Southfield Way Surgery</w:t>
      </w:r>
      <w:r w:rsidRPr="00F41E86">
        <w:rPr>
          <w:rFonts w:asciiTheme="minorHAnsi" w:hAnsiTheme="minorHAnsi"/>
        </w:rPr>
        <w:t xml:space="preserve"> recognises that information has its greatest value when it is accurate, up to date and accessible where and when it is needed. Inaccurate, outdated or inaccessible information that is the result of one or more information security weaknesses can quickly disrupt or devalue critical processes. Information underpins the delivery of high quality healthcare commissioning and many other key service deliverables. In addition, the public is increasingly concerned about how organisations are handling information; the patients have a right to expect us to handle their data in a safe and secure manner and comply with legal and professional responsibilities. </w:t>
      </w:r>
    </w:p>
    <w:p w14:paraId="07D7F945" w14:textId="77777777" w:rsidR="008233ED" w:rsidRPr="00F41E86" w:rsidRDefault="008233ED" w:rsidP="008233ED">
      <w:pPr>
        <w:spacing w:after="78"/>
        <w:rPr>
          <w:rFonts w:asciiTheme="minorHAnsi" w:hAnsiTheme="minorHAnsi"/>
        </w:rPr>
      </w:pPr>
      <w:r w:rsidRPr="00F41E86">
        <w:rPr>
          <w:rFonts w:asciiTheme="minorHAnsi" w:hAnsiTheme="minorHAnsi"/>
        </w:rPr>
        <w:t xml:space="preserve">There is a legal requirement for the practice as a Public Authority to address compliance with the incoming General Data Protection Regulation (GDPR) by 25 May 2018, and the Associated UK specific Data Protection Act 2018 together with associated (to be published NHS guidance).  </w:t>
      </w:r>
    </w:p>
    <w:p w14:paraId="0382714F" w14:textId="77777777" w:rsidR="008233ED" w:rsidRPr="00F41E86" w:rsidRDefault="008233ED" w:rsidP="008233ED">
      <w:pPr>
        <w:rPr>
          <w:rFonts w:asciiTheme="minorHAnsi" w:hAnsiTheme="minorHAnsi"/>
        </w:rPr>
      </w:pPr>
      <w:r w:rsidRPr="00F41E86">
        <w:rPr>
          <w:rFonts w:asciiTheme="minorHAnsi" w:hAnsiTheme="minorHAnsi"/>
        </w:rPr>
        <w:t>An effective information security management regime must be in place to ensure that information is appropriately protected and reliably available.</w:t>
      </w:r>
    </w:p>
    <w:p w14:paraId="3E41A1BE" w14:textId="77777777" w:rsidR="001E7160" w:rsidRDefault="001E7160" w:rsidP="008233ED">
      <w:pPr>
        <w:rPr>
          <w:rFonts w:asciiTheme="minorHAnsi" w:hAnsiTheme="minorHAnsi"/>
        </w:rPr>
      </w:pPr>
    </w:p>
    <w:p w14:paraId="76E6B8C8" w14:textId="77777777" w:rsidR="008233ED" w:rsidRPr="00F41E86" w:rsidRDefault="008233ED" w:rsidP="008233ED">
      <w:pPr>
        <w:rPr>
          <w:rFonts w:asciiTheme="minorHAnsi" w:hAnsiTheme="minorHAnsi"/>
        </w:rPr>
      </w:pPr>
      <w:r w:rsidRPr="00F41E86">
        <w:rPr>
          <w:rFonts w:asciiTheme="minorHAnsi" w:hAnsiTheme="minorHAnsi"/>
        </w:rPr>
        <w:t xml:space="preserve">This document sets out a strategic direction for information governance management within </w:t>
      </w:r>
      <w:r>
        <w:rPr>
          <w:rFonts w:asciiTheme="minorHAnsi" w:hAnsiTheme="minorHAnsi"/>
        </w:rPr>
        <w:t>Southfield Way Surgery</w:t>
      </w:r>
    </w:p>
    <w:p w14:paraId="0C4BCACB" w14:textId="77777777" w:rsidR="008233ED" w:rsidRPr="00F41E86" w:rsidRDefault="008233ED" w:rsidP="008233ED">
      <w:pPr>
        <w:rPr>
          <w:rFonts w:asciiTheme="minorHAnsi" w:hAnsiTheme="minorHAnsi"/>
          <w:b/>
        </w:rPr>
      </w:pPr>
    </w:p>
    <w:p w14:paraId="52AF8438" w14:textId="77777777" w:rsidR="008233ED" w:rsidRPr="00F41E86" w:rsidRDefault="008233ED" w:rsidP="008233ED">
      <w:pPr>
        <w:rPr>
          <w:rFonts w:asciiTheme="minorHAnsi" w:hAnsiTheme="minorHAnsi"/>
        </w:rPr>
      </w:pPr>
      <w:r w:rsidRPr="00F41E86">
        <w:rPr>
          <w:rFonts w:asciiTheme="minorHAnsi" w:hAnsiTheme="minorHAnsi"/>
        </w:rPr>
        <w:t>The policy is based on a number of legal and best practice standards including:</w:t>
      </w:r>
    </w:p>
    <w:p w14:paraId="32703435" w14:textId="77777777" w:rsidR="008233ED" w:rsidRPr="00F41E86" w:rsidRDefault="008233ED" w:rsidP="008233ED">
      <w:pPr>
        <w:rPr>
          <w:rFonts w:asciiTheme="minorHAnsi" w:hAnsiTheme="minorHAnsi"/>
        </w:rPr>
      </w:pPr>
    </w:p>
    <w:p w14:paraId="158FA342" w14:textId="77777777" w:rsidR="008233ED" w:rsidRPr="00F41E86" w:rsidRDefault="008233ED" w:rsidP="008233ED">
      <w:pPr>
        <w:pStyle w:val="ListParagraph"/>
        <w:numPr>
          <w:ilvl w:val="0"/>
          <w:numId w:val="24"/>
        </w:numPr>
        <w:spacing w:after="200" w:line="276" w:lineRule="auto"/>
        <w:rPr>
          <w:rFonts w:asciiTheme="minorHAnsi" w:hAnsiTheme="minorHAnsi" w:cs="Arial"/>
          <w:sz w:val="24"/>
          <w:szCs w:val="24"/>
        </w:rPr>
      </w:pPr>
      <w:r w:rsidRPr="00F41E86">
        <w:rPr>
          <w:rFonts w:asciiTheme="minorHAnsi" w:hAnsiTheme="minorHAnsi" w:cs="Arial"/>
          <w:sz w:val="24"/>
          <w:szCs w:val="24"/>
        </w:rPr>
        <w:t xml:space="preserve">ISO27001, the international standard for information security management systems (ISMS) </w:t>
      </w:r>
    </w:p>
    <w:p w14:paraId="4276D1D3" w14:textId="77777777" w:rsidR="008233ED" w:rsidRPr="00F41E86" w:rsidRDefault="008233ED" w:rsidP="008233ED">
      <w:pPr>
        <w:pStyle w:val="ListParagraph"/>
        <w:numPr>
          <w:ilvl w:val="0"/>
          <w:numId w:val="24"/>
        </w:numPr>
        <w:spacing w:after="200" w:line="276" w:lineRule="auto"/>
        <w:rPr>
          <w:rFonts w:asciiTheme="minorHAnsi" w:hAnsiTheme="minorHAnsi" w:cs="Arial"/>
          <w:sz w:val="24"/>
          <w:szCs w:val="24"/>
        </w:rPr>
      </w:pPr>
      <w:r w:rsidRPr="00F41E86">
        <w:rPr>
          <w:rFonts w:asciiTheme="minorHAnsi" w:hAnsiTheme="minorHAnsi" w:cs="Arial"/>
          <w:sz w:val="24"/>
          <w:szCs w:val="24"/>
        </w:rPr>
        <w:t>Information Security Management: NHS Code of Practice</w:t>
      </w:r>
    </w:p>
    <w:p w14:paraId="635C63FE" w14:textId="77777777" w:rsidR="008233ED" w:rsidRPr="00F41E86" w:rsidRDefault="008233ED" w:rsidP="008233ED">
      <w:pPr>
        <w:pStyle w:val="ListParagraph"/>
        <w:numPr>
          <w:ilvl w:val="0"/>
          <w:numId w:val="24"/>
        </w:numPr>
        <w:spacing w:after="200" w:line="276" w:lineRule="auto"/>
        <w:rPr>
          <w:rFonts w:asciiTheme="minorHAnsi" w:hAnsiTheme="minorHAnsi" w:cs="Arial"/>
          <w:sz w:val="24"/>
          <w:szCs w:val="24"/>
        </w:rPr>
      </w:pPr>
      <w:r w:rsidRPr="00F41E86">
        <w:rPr>
          <w:rFonts w:asciiTheme="minorHAnsi" w:hAnsiTheme="minorHAnsi" w:cs="Arial"/>
          <w:sz w:val="24"/>
          <w:szCs w:val="24"/>
        </w:rPr>
        <w:t>General Data Protection Regulation 2016, Data Protection Act 2018, Freedom of Information Act 2000, Computer Misuse Act and other related law and regulation</w:t>
      </w:r>
    </w:p>
    <w:p w14:paraId="6A74E708" w14:textId="77777777" w:rsidR="008233ED" w:rsidRPr="00F41E86" w:rsidRDefault="008233ED" w:rsidP="008233ED">
      <w:pPr>
        <w:pStyle w:val="ListParagraph"/>
        <w:numPr>
          <w:ilvl w:val="0"/>
          <w:numId w:val="24"/>
        </w:numPr>
        <w:spacing w:after="200" w:line="276" w:lineRule="auto"/>
        <w:rPr>
          <w:rFonts w:asciiTheme="minorHAnsi" w:hAnsiTheme="minorHAnsi" w:cs="Arial"/>
          <w:sz w:val="24"/>
          <w:szCs w:val="24"/>
        </w:rPr>
      </w:pPr>
      <w:r w:rsidRPr="00F41E86">
        <w:rPr>
          <w:rFonts w:asciiTheme="minorHAnsi" w:hAnsiTheme="minorHAnsi" w:cs="Arial"/>
          <w:sz w:val="24"/>
          <w:szCs w:val="24"/>
        </w:rPr>
        <w:t>Health and Social Care Act 2013</w:t>
      </w:r>
    </w:p>
    <w:p w14:paraId="21CFFCFE" w14:textId="77777777" w:rsidR="008233ED" w:rsidRPr="00F41E86" w:rsidRDefault="008233ED" w:rsidP="008233ED">
      <w:pPr>
        <w:pStyle w:val="ListParagraph"/>
        <w:numPr>
          <w:ilvl w:val="0"/>
          <w:numId w:val="24"/>
        </w:numPr>
        <w:spacing w:after="200" w:line="276" w:lineRule="auto"/>
        <w:rPr>
          <w:rFonts w:asciiTheme="minorHAnsi" w:hAnsiTheme="minorHAnsi" w:cs="Arial"/>
          <w:sz w:val="24"/>
          <w:szCs w:val="24"/>
        </w:rPr>
      </w:pPr>
      <w:r w:rsidRPr="00F41E86">
        <w:rPr>
          <w:rFonts w:asciiTheme="minorHAnsi" w:hAnsiTheme="minorHAnsi" w:cs="Arial"/>
          <w:sz w:val="24"/>
          <w:szCs w:val="24"/>
        </w:rPr>
        <w:t>NHS Act 2006 (s.251 and associated CAG Approvals)</w:t>
      </w:r>
    </w:p>
    <w:p w14:paraId="43296302" w14:textId="77777777" w:rsidR="008233ED" w:rsidRPr="00F41E86" w:rsidRDefault="008233ED" w:rsidP="008233ED">
      <w:pPr>
        <w:pStyle w:val="ListParagraph"/>
        <w:numPr>
          <w:ilvl w:val="0"/>
          <w:numId w:val="24"/>
        </w:numPr>
        <w:spacing w:after="200" w:line="276" w:lineRule="auto"/>
        <w:rPr>
          <w:rFonts w:asciiTheme="minorHAnsi" w:hAnsiTheme="minorHAnsi" w:cs="Arial"/>
          <w:sz w:val="24"/>
          <w:szCs w:val="24"/>
        </w:rPr>
      </w:pPr>
      <w:r w:rsidRPr="00F41E86">
        <w:rPr>
          <w:rFonts w:asciiTheme="minorHAnsi" w:hAnsiTheme="minorHAnsi" w:cs="Arial"/>
          <w:sz w:val="24"/>
          <w:szCs w:val="24"/>
        </w:rPr>
        <w:t>Office of Government Commerce (OGC) Policies &amp; standards</w:t>
      </w:r>
    </w:p>
    <w:p w14:paraId="25C80930" w14:textId="77777777" w:rsidR="008233ED" w:rsidRPr="00F41E86" w:rsidRDefault="008233ED" w:rsidP="008233ED">
      <w:pPr>
        <w:pStyle w:val="ListParagraph"/>
        <w:numPr>
          <w:ilvl w:val="1"/>
          <w:numId w:val="24"/>
        </w:numPr>
        <w:spacing w:after="200" w:line="276" w:lineRule="auto"/>
        <w:rPr>
          <w:rFonts w:asciiTheme="minorHAnsi" w:hAnsiTheme="minorHAnsi" w:cs="Arial"/>
          <w:sz w:val="24"/>
          <w:szCs w:val="24"/>
        </w:rPr>
      </w:pPr>
      <w:r w:rsidRPr="00F41E86">
        <w:rPr>
          <w:rFonts w:asciiTheme="minorHAnsi" w:hAnsiTheme="minorHAnsi" w:cs="Arial"/>
          <w:sz w:val="24"/>
          <w:szCs w:val="24"/>
        </w:rPr>
        <w:t>Information Technology Infrastructure Library (ITIL)</w:t>
      </w:r>
    </w:p>
    <w:p w14:paraId="06153887" w14:textId="77777777" w:rsidR="008233ED" w:rsidRPr="00F41E86" w:rsidRDefault="008233ED" w:rsidP="008233ED">
      <w:pPr>
        <w:pStyle w:val="ListParagraph"/>
        <w:numPr>
          <w:ilvl w:val="1"/>
          <w:numId w:val="24"/>
        </w:numPr>
        <w:spacing w:after="200" w:line="276" w:lineRule="auto"/>
        <w:rPr>
          <w:rFonts w:asciiTheme="minorHAnsi" w:hAnsiTheme="minorHAnsi" w:cs="Arial"/>
          <w:sz w:val="24"/>
          <w:szCs w:val="24"/>
        </w:rPr>
      </w:pPr>
      <w:r w:rsidRPr="00F41E86">
        <w:rPr>
          <w:rFonts w:asciiTheme="minorHAnsi" w:hAnsiTheme="minorHAnsi" w:cs="Arial"/>
          <w:sz w:val="24"/>
          <w:szCs w:val="24"/>
        </w:rPr>
        <w:t>Communications- Electronics Security Group (CESG) Guidance</w:t>
      </w:r>
    </w:p>
    <w:p w14:paraId="77264E75" w14:textId="77777777" w:rsidR="008233ED" w:rsidRPr="00F41E86" w:rsidRDefault="008233ED" w:rsidP="008233ED">
      <w:pPr>
        <w:pStyle w:val="ListParagraph"/>
        <w:numPr>
          <w:ilvl w:val="1"/>
          <w:numId w:val="24"/>
        </w:numPr>
        <w:spacing w:after="200" w:line="276" w:lineRule="auto"/>
        <w:rPr>
          <w:rFonts w:asciiTheme="minorHAnsi" w:hAnsiTheme="minorHAnsi" w:cs="Arial"/>
          <w:sz w:val="24"/>
          <w:szCs w:val="24"/>
        </w:rPr>
      </w:pPr>
      <w:r w:rsidRPr="00F41E86">
        <w:rPr>
          <w:rFonts w:asciiTheme="minorHAnsi" w:hAnsiTheme="minorHAnsi" w:cs="Arial"/>
          <w:sz w:val="24"/>
          <w:szCs w:val="24"/>
        </w:rPr>
        <w:t>Management of Risk</w:t>
      </w:r>
    </w:p>
    <w:p w14:paraId="139CE048" w14:textId="77777777" w:rsidR="008233ED" w:rsidRPr="00F41E86" w:rsidRDefault="008233ED" w:rsidP="008233ED">
      <w:pPr>
        <w:pStyle w:val="Default"/>
        <w:jc w:val="both"/>
        <w:rPr>
          <w:rFonts w:asciiTheme="minorHAnsi" w:hAnsiTheme="minorHAnsi" w:cs="Arial"/>
        </w:rPr>
      </w:pPr>
      <w:r>
        <w:rPr>
          <w:rFonts w:asciiTheme="minorHAnsi" w:hAnsiTheme="minorHAnsi" w:cs="Arial"/>
        </w:rPr>
        <w:t>Southfield Way Surgery</w:t>
      </w:r>
      <w:r w:rsidRPr="00F41E86">
        <w:rPr>
          <w:rFonts w:asciiTheme="minorHAnsi" w:hAnsiTheme="minorHAnsi" w:cs="Arial"/>
        </w:rPr>
        <w:t xml:space="preserve"> is committed to ensuring that there is adequate provision for the secure management of information resources it owns or controls. </w:t>
      </w:r>
    </w:p>
    <w:p w14:paraId="0454F4B7" w14:textId="77777777" w:rsidR="008233ED" w:rsidRPr="00F41E86" w:rsidRDefault="008233ED" w:rsidP="008233ED">
      <w:pPr>
        <w:pStyle w:val="Default"/>
        <w:jc w:val="both"/>
        <w:rPr>
          <w:rFonts w:asciiTheme="minorHAnsi" w:hAnsiTheme="minorHAnsi" w:cs="Arial"/>
        </w:rPr>
      </w:pPr>
    </w:p>
    <w:p w14:paraId="4A3CB9B1" w14:textId="77777777" w:rsidR="008233ED" w:rsidRPr="00F41E86" w:rsidRDefault="008233ED" w:rsidP="008233ED">
      <w:pPr>
        <w:pStyle w:val="Default"/>
        <w:jc w:val="both"/>
        <w:rPr>
          <w:rFonts w:asciiTheme="minorHAnsi" w:hAnsiTheme="minorHAnsi" w:cs="Arial"/>
        </w:rPr>
      </w:pPr>
      <w:r w:rsidRPr="008233ED">
        <w:rPr>
          <w:rFonts w:asciiTheme="minorHAnsi" w:hAnsiTheme="minorHAnsi" w:cs="Arial"/>
          <w:lang w:val="en-GB"/>
        </w:rPr>
        <w:t xml:space="preserve">Southfield Way Surgery </w:t>
      </w:r>
      <w:r w:rsidRPr="00F41E86">
        <w:rPr>
          <w:rFonts w:asciiTheme="minorHAnsi" w:hAnsiTheme="minorHAnsi" w:cs="Arial"/>
        </w:rPr>
        <w:t xml:space="preserve">recognises that information security is not simply about implementing Information technology solutions; it reflects overall management and the culture of the organisation. </w:t>
      </w:r>
    </w:p>
    <w:p w14:paraId="16AC9165" w14:textId="77777777" w:rsidR="008233ED" w:rsidRPr="00F41E86" w:rsidRDefault="008233ED" w:rsidP="008233ED">
      <w:pPr>
        <w:pStyle w:val="Default"/>
        <w:jc w:val="both"/>
        <w:rPr>
          <w:rFonts w:asciiTheme="minorHAnsi" w:hAnsiTheme="minorHAnsi" w:cs="Arial"/>
        </w:rPr>
      </w:pPr>
    </w:p>
    <w:p w14:paraId="75529E37" w14:textId="77777777" w:rsidR="008233ED" w:rsidRPr="00F41E86" w:rsidRDefault="008233ED" w:rsidP="008233ED">
      <w:pPr>
        <w:pStyle w:val="BodyTextIndent"/>
        <w:spacing w:after="240"/>
        <w:ind w:left="0"/>
        <w:jc w:val="both"/>
        <w:rPr>
          <w:rFonts w:asciiTheme="minorHAnsi" w:hAnsiTheme="minorHAnsi" w:cs="Arial"/>
          <w:b/>
          <w:sz w:val="24"/>
          <w:szCs w:val="24"/>
          <w:u w:val="single"/>
        </w:rPr>
      </w:pPr>
      <w:r w:rsidRPr="00F41E86">
        <w:rPr>
          <w:rFonts w:asciiTheme="minorHAnsi" w:hAnsiTheme="minorHAnsi" w:cs="Arial"/>
          <w:b/>
          <w:sz w:val="24"/>
          <w:szCs w:val="24"/>
          <w:u w:val="single"/>
        </w:rPr>
        <w:t>Scope</w:t>
      </w:r>
    </w:p>
    <w:p w14:paraId="7D8C8B9A" w14:textId="77777777" w:rsidR="008233ED" w:rsidRPr="00F41E86" w:rsidRDefault="008233ED" w:rsidP="008233ED">
      <w:pPr>
        <w:autoSpaceDE w:val="0"/>
        <w:autoSpaceDN w:val="0"/>
        <w:adjustRightInd w:val="0"/>
        <w:jc w:val="both"/>
        <w:rPr>
          <w:rFonts w:asciiTheme="minorHAnsi" w:hAnsiTheme="minorHAnsi"/>
        </w:rPr>
      </w:pPr>
      <w:r w:rsidRPr="00F41E86">
        <w:rPr>
          <w:rFonts w:asciiTheme="minorHAnsi" w:hAnsiTheme="minorHAnsi"/>
        </w:rPr>
        <w:t>This policy relates to:</w:t>
      </w:r>
    </w:p>
    <w:p w14:paraId="13D49B3E" w14:textId="77777777" w:rsidR="008233ED" w:rsidRPr="00F41E86" w:rsidRDefault="008233ED" w:rsidP="008233ED">
      <w:pPr>
        <w:numPr>
          <w:ilvl w:val="0"/>
          <w:numId w:val="4"/>
        </w:numPr>
        <w:autoSpaceDE w:val="0"/>
        <w:autoSpaceDN w:val="0"/>
        <w:adjustRightInd w:val="0"/>
        <w:jc w:val="both"/>
        <w:rPr>
          <w:rFonts w:asciiTheme="minorHAnsi" w:hAnsiTheme="minorHAnsi"/>
        </w:rPr>
      </w:pPr>
      <w:r w:rsidRPr="00F41E86">
        <w:rPr>
          <w:rFonts w:asciiTheme="minorHAnsi" w:hAnsiTheme="minorHAnsi"/>
        </w:rPr>
        <w:t>all information that is processed or held during the practice business or on its behalf by key providers;</w:t>
      </w:r>
    </w:p>
    <w:p w14:paraId="5E545C95" w14:textId="77777777" w:rsidR="008233ED" w:rsidRPr="00F41E86" w:rsidRDefault="008233ED" w:rsidP="008233ED">
      <w:pPr>
        <w:numPr>
          <w:ilvl w:val="0"/>
          <w:numId w:val="4"/>
        </w:numPr>
        <w:autoSpaceDE w:val="0"/>
        <w:autoSpaceDN w:val="0"/>
        <w:adjustRightInd w:val="0"/>
        <w:jc w:val="both"/>
        <w:rPr>
          <w:rFonts w:asciiTheme="minorHAnsi" w:hAnsiTheme="minorHAnsi"/>
        </w:rPr>
      </w:pPr>
      <w:r w:rsidRPr="00F41E86">
        <w:rPr>
          <w:rFonts w:asciiTheme="minorHAnsi" w:hAnsiTheme="minorHAnsi"/>
        </w:rPr>
        <w:t>the handling of all information through all recognised means; and</w:t>
      </w:r>
    </w:p>
    <w:p w14:paraId="6570AFC5" w14:textId="77777777" w:rsidR="008233ED" w:rsidRPr="00F41E86" w:rsidRDefault="008233ED" w:rsidP="008233ED">
      <w:pPr>
        <w:numPr>
          <w:ilvl w:val="0"/>
          <w:numId w:val="4"/>
        </w:numPr>
        <w:autoSpaceDE w:val="0"/>
        <w:autoSpaceDN w:val="0"/>
        <w:adjustRightInd w:val="0"/>
        <w:jc w:val="both"/>
        <w:rPr>
          <w:rFonts w:asciiTheme="minorHAnsi" w:hAnsiTheme="minorHAnsi"/>
        </w:rPr>
      </w:pPr>
      <w:r w:rsidRPr="00F41E86">
        <w:rPr>
          <w:rFonts w:asciiTheme="minorHAnsi" w:hAnsiTheme="minorHAnsi"/>
        </w:rPr>
        <w:t xml:space="preserve">all information systems purchased, developed and managed by or on behalf of the </w:t>
      </w:r>
      <w:r w:rsidRPr="008233ED">
        <w:rPr>
          <w:rFonts w:asciiTheme="minorHAnsi" w:hAnsiTheme="minorHAnsi"/>
        </w:rPr>
        <w:t>Southfield Way Surgery</w:t>
      </w:r>
      <w:r>
        <w:rPr>
          <w:rFonts w:asciiTheme="minorHAnsi" w:hAnsiTheme="minorHAnsi"/>
        </w:rPr>
        <w:t>.</w:t>
      </w:r>
    </w:p>
    <w:p w14:paraId="2F140B22" w14:textId="77777777" w:rsidR="008233ED" w:rsidRPr="00F41E86" w:rsidRDefault="008233ED" w:rsidP="008233ED">
      <w:pPr>
        <w:autoSpaceDE w:val="0"/>
        <w:autoSpaceDN w:val="0"/>
        <w:adjustRightInd w:val="0"/>
        <w:jc w:val="both"/>
        <w:rPr>
          <w:rFonts w:asciiTheme="minorHAnsi" w:hAnsiTheme="minorHAnsi"/>
          <w:b/>
        </w:rPr>
      </w:pPr>
      <w:r w:rsidRPr="00F41E86">
        <w:rPr>
          <w:rFonts w:asciiTheme="minorHAnsi" w:hAnsiTheme="minorHAnsi"/>
        </w:rPr>
        <w:t xml:space="preserve">It also applies to all members of staff employed by, or working on behalf of </w:t>
      </w:r>
      <w:r>
        <w:rPr>
          <w:rFonts w:asciiTheme="minorHAnsi" w:hAnsiTheme="minorHAnsi"/>
        </w:rPr>
        <w:t>Southfield Way Surgery</w:t>
      </w:r>
      <w:r w:rsidRPr="00F41E86">
        <w:rPr>
          <w:rFonts w:asciiTheme="minorHAnsi" w:hAnsiTheme="minorHAnsi"/>
        </w:rPr>
        <w:t>, including contracted, non-contracted, temporary, honorary, secondments, bank, agency, students, volunteers, locums or third parties.</w:t>
      </w:r>
    </w:p>
    <w:p w14:paraId="2EFBE6C7" w14:textId="77777777" w:rsidR="008233ED" w:rsidRPr="00F41E86" w:rsidRDefault="008233ED" w:rsidP="008233ED">
      <w:pPr>
        <w:autoSpaceDE w:val="0"/>
        <w:autoSpaceDN w:val="0"/>
        <w:adjustRightInd w:val="0"/>
        <w:jc w:val="both"/>
        <w:rPr>
          <w:rFonts w:asciiTheme="minorHAnsi" w:hAnsiTheme="minorHAnsi"/>
        </w:rPr>
      </w:pPr>
    </w:p>
    <w:p w14:paraId="10D12874" w14:textId="77777777" w:rsidR="008233ED" w:rsidRPr="00F41E86" w:rsidRDefault="008233ED" w:rsidP="008233ED">
      <w:pPr>
        <w:autoSpaceDE w:val="0"/>
        <w:autoSpaceDN w:val="0"/>
        <w:adjustRightInd w:val="0"/>
        <w:jc w:val="both"/>
        <w:rPr>
          <w:rFonts w:asciiTheme="minorHAnsi" w:hAnsiTheme="minorHAnsi"/>
        </w:rPr>
      </w:pPr>
      <w:r w:rsidRPr="00F41E86">
        <w:rPr>
          <w:rFonts w:asciiTheme="minorHAnsi" w:hAnsiTheme="minorHAnsi"/>
        </w:rPr>
        <w:t>The Information Governance Policy recognises that the practice is an organisation working within a new and rapidly changing commissioning and information governance landscape, especially with the introduction of the GDPR.   As such the P</w:t>
      </w:r>
      <w:r>
        <w:rPr>
          <w:rFonts w:asciiTheme="minorHAnsi" w:hAnsiTheme="minorHAnsi"/>
        </w:rPr>
        <w:t>ractice</w:t>
      </w:r>
      <w:r w:rsidRPr="00F41E86">
        <w:rPr>
          <w:rFonts w:asciiTheme="minorHAnsi" w:hAnsiTheme="minorHAnsi"/>
        </w:rPr>
        <w:t>’s policy is focused on setting up and embedding the required governance arrangements and doing this in such a way that the practice retains the maximum flexibility and resilience so that it can adapt to this environment.</w:t>
      </w:r>
    </w:p>
    <w:p w14:paraId="43099A8B" w14:textId="77777777" w:rsidR="008233ED" w:rsidRPr="00F41E86" w:rsidRDefault="008233ED" w:rsidP="008233ED">
      <w:pPr>
        <w:autoSpaceDE w:val="0"/>
        <w:autoSpaceDN w:val="0"/>
        <w:adjustRightInd w:val="0"/>
        <w:jc w:val="both"/>
        <w:rPr>
          <w:rFonts w:asciiTheme="minorHAnsi" w:hAnsiTheme="minorHAnsi"/>
        </w:rPr>
      </w:pPr>
    </w:p>
    <w:p w14:paraId="627AAD5F" w14:textId="77777777" w:rsidR="008233ED" w:rsidRPr="00F41E86" w:rsidRDefault="008233ED" w:rsidP="008233ED">
      <w:pPr>
        <w:autoSpaceDE w:val="0"/>
        <w:autoSpaceDN w:val="0"/>
        <w:adjustRightInd w:val="0"/>
        <w:jc w:val="both"/>
        <w:rPr>
          <w:rFonts w:asciiTheme="minorHAnsi" w:hAnsiTheme="minorHAnsi"/>
        </w:rPr>
      </w:pPr>
      <w:r w:rsidRPr="00F41E86">
        <w:rPr>
          <w:rFonts w:asciiTheme="minorHAnsi" w:hAnsiTheme="minorHAnsi"/>
        </w:rPr>
        <w:t>The key elements and resources to support the delivery of this policy are:</w:t>
      </w:r>
    </w:p>
    <w:p w14:paraId="1759FE6A" w14:textId="77777777" w:rsidR="008233ED" w:rsidRPr="00F41E86" w:rsidRDefault="008233ED" w:rsidP="008233ED">
      <w:pPr>
        <w:numPr>
          <w:ilvl w:val="0"/>
          <w:numId w:val="18"/>
        </w:numPr>
        <w:autoSpaceDE w:val="0"/>
        <w:autoSpaceDN w:val="0"/>
        <w:adjustRightInd w:val="0"/>
        <w:jc w:val="both"/>
        <w:rPr>
          <w:rFonts w:asciiTheme="minorHAnsi" w:hAnsiTheme="minorHAnsi"/>
        </w:rPr>
      </w:pPr>
      <w:r w:rsidRPr="00F41E86">
        <w:rPr>
          <w:rFonts w:asciiTheme="minorHAnsi" w:hAnsiTheme="minorHAnsi"/>
        </w:rPr>
        <w:t>The Data Security and Protections Toolkit (2018);</w:t>
      </w:r>
    </w:p>
    <w:p w14:paraId="7281E75F" w14:textId="77777777" w:rsidR="008233ED" w:rsidRPr="00F41E86" w:rsidRDefault="008233ED" w:rsidP="008233ED">
      <w:pPr>
        <w:numPr>
          <w:ilvl w:val="0"/>
          <w:numId w:val="18"/>
        </w:numPr>
        <w:autoSpaceDE w:val="0"/>
        <w:autoSpaceDN w:val="0"/>
        <w:adjustRightInd w:val="0"/>
        <w:jc w:val="both"/>
        <w:rPr>
          <w:rFonts w:asciiTheme="minorHAnsi" w:hAnsiTheme="minorHAnsi"/>
        </w:rPr>
      </w:pPr>
      <w:r w:rsidRPr="00F41E86">
        <w:rPr>
          <w:rFonts w:asciiTheme="minorHAnsi" w:hAnsiTheme="minorHAnsi"/>
        </w:rPr>
        <w:t>Information Governance Policy;</w:t>
      </w:r>
    </w:p>
    <w:p w14:paraId="7C96108F" w14:textId="77777777" w:rsidR="008233ED" w:rsidRPr="00F41E86" w:rsidRDefault="008233ED" w:rsidP="008233ED">
      <w:pPr>
        <w:autoSpaceDE w:val="0"/>
        <w:autoSpaceDN w:val="0"/>
        <w:adjustRightInd w:val="0"/>
        <w:jc w:val="both"/>
        <w:rPr>
          <w:rFonts w:asciiTheme="minorHAnsi" w:hAnsiTheme="minorHAnsi"/>
        </w:rPr>
      </w:pPr>
    </w:p>
    <w:p w14:paraId="24063144" w14:textId="77777777" w:rsidR="008233ED" w:rsidRPr="00F41E86" w:rsidRDefault="008233ED" w:rsidP="008233ED">
      <w:pPr>
        <w:pStyle w:val="BodyTextIndent"/>
        <w:spacing w:after="240"/>
        <w:ind w:left="0"/>
        <w:jc w:val="both"/>
        <w:rPr>
          <w:rFonts w:asciiTheme="minorHAnsi" w:hAnsiTheme="minorHAnsi" w:cs="Arial"/>
          <w:b/>
          <w:sz w:val="24"/>
          <w:szCs w:val="24"/>
          <w:u w:val="single"/>
        </w:rPr>
      </w:pPr>
      <w:r w:rsidRPr="00F41E86">
        <w:rPr>
          <w:rFonts w:asciiTheme="minorHAnsi" w:hAnsiTheme="minorHAnsi" w:cs="Arial"/>
          <w:b/>
          <w:sz w:val="24"/>
          <w:szCs w:val="24"/>
          <w:u w:val="single"/>
        </w:rPr>
        <w:t>Purpose</w:t>
      </w:r>
    </w:p>
    <w:p w14:paraId="1C9CC629" w14:textId="77777777" w:rsidR="008233ED" w:rsidRPr="00F41E86" w:rsidRDefault="008233ED" w:rsidP="008233ED">
      <w:pPr>
        <w:pStyle w:val="Default"/>
        <w:jc w:val="both"/>
        <w:rPr>
          <w:rFonts w:asciiTheme="minorHAnsi" w:hAnsiTheme="minorHAnsi" w:cs="Arial"/>
          <w:b/>
        </w:rPr>
      </w:pPr>
      <w:r w:rsidRPr="00F41E86">
        <w:rPr>
          <w:rFonts w:asciiTheme="minorHAnsi" w:hAnsiTheme="minorHAnsi" w:cs="Arial"/>
        </w:rPr>
        <w:t xml:space="preserve">The purpose of this policy is to describe the management arrangements that will deliver Information Governance assurance for </w:t>
      </w:r>
      <w:r>
        <w:rPr>
          <w:rFonts w:asciiTheme="minorHAnsi" w:hAnsiTheme="minorHAnsi" w:cs="Arial"/>
        </w:rPr>
        <w:t>Southfield Way Surgery.</w:t>
      </w:r>
      <w:r w:rsidRPr="00F41E86">
        <w:rPr>
          <w:rFonts w:asciiTheme="minorHAnsi" w:hAnsiTheme="minorHAnsi" w:cs="Arial"/>
        </w:rPr>
        <w:t xml:space="preserve"> Information Governance is a framework that enables the organisation to establish good practice around the processing of information and use of information systems, ensure that information is handled to ethical and quality standards in a secure and confidential manner, promote a culture of awareness and improvement, deliver its corporate objectives and comply with legislation, statutory requirements and other mandatory standards.   </w:t>
      </w:r>
    </w:p>
    <w:p w14:paraId="456ADF2C" w14:textId="77777777" w:rsidR="008233ED" w:rsidRDefault="008233ED" w:rsidP="008233ED">
      <w:pPr>
        <w:autoSpaceDE w:val="0"/>
        <w:autoSpaceDN w:val="0"/>
        <w:adjustRightInd w:val="0"/>
        <w:jc w:val="both"/>
        <w:rPr>
          <w:rFonts w:asciiTheme="minorHAnsi" w:hAnsiTheme="minorHAnsi"/>
        </w:rPr>
      </w:pPr>
    </w:p>
    <w:p w14:paraId="30007161" w14:textId="77777777" w:rsidR="008233ED" w:rsidRPr="00F41E86" w:rsidRDefault="008233ED" w:rsidP="008233ED">
      <w:pPr>
        <w:autoSpaceDE w:val="0"/>
        <w:autoSpaceDN w:val="0"/>
        <w:adjustRightInd w:val="0"/>
        <w:jc w:val="both"/>
        <w:rPr>
          <w:rFonts w:asciiTheme="minorHAnsi" w:hAnsiTheme="minorHAnsi"/>
        </w:rPr>
      </w:pPr>
      <w:r w:rsidRPr="00F41E86">
        <w:rPr>
          <w:rFonts w:asciiTheme="minorHAnsi" w:hAnsiTheme="minorHAnsi"/>
        </w:rPr>
        <w:t xml:space="preserve">The Information Governance Management Framework (IGMF) will underpin the </w:t>
      </w:r>
      <w:r>
        <w:rPr>
          <w:rFonts w:asciiTheme="minorHAnsi" w:hAnsiTheme="minorHAnsi"/>
        </w:rPr>
        <w:t>practice</w:t>
      </w:r>
      <w:r w:rsidRPr="00F41E86">
        <w:rPr>
          <w:rFonts w:asciiTheme="minorHAnsi" w:hAnsiTheme="minorHAnsi"/>
        </w:rPr>
        <w:t xml:space="preserve">’s strategic goals and ensure that the information needed to support and deliver their implementation is readily available, accurate and understandable. </w:t>
      </w:r>
    </w:p>
    <w:p w14:paraId="1C0A5A47" w14:textId="77777777" w:rsidR="008233ED" w:rsidRPr="00F41E86" w:rsidRDefault="008233ED" w:rsidP="008233ED">
      <w:pPr>
        <w:autoSpaceDE w:val="0"/>
        <w:autoSpaceDN w:val="0"/>
        <w:adjustRightInd w:val="0"/>
        <w:ind w:left="720" w:hanging="720"/>
        <w:jc w:val="both"/>
        <w:rPr>
          <w:rFonts w:asciiTheme="minorHAnsi" w:hAnsiTheme="minorHAnsi"/>
        </w:rPr>
      </w:pPr>
    </w:p>
    <w:p w14:paraId="54360692" w14:textId="77777777" w:rsidR="008233ED" w:rsidRPr="00F41E86" w:rsidRDefault="008233ED" w:rsidP="008233ED">
      <w:pPr>
        <w:autoSpaceDE w:val="0"/>
        <w:autoSpaceDN w:val="0"/>
        <w:adjustRightInd w:val="0"/>
        <w:ind w:left="720" w:hanging="720"/>
        <w:jc w:val="both"/>
        <w:rPr>
          <w:rFonts w:asciiTheme="minorHAnsi" w:hAnsiTheme="minorHAnsi"/>
        </w:rPr>
      </w:pPr>
      <w:r w:rsidRPr="00F41E86">
        <w:rPr>
          <w:rFonts w:asciiTheme="minorHAnsi" w:hAnsiTheme="minorHAnsi"/>
        </w:rPr>
        <w:t xml:space="preserve">Information Governance has four fundamental aims: </w:t>
      </w:r>
    </w:p>
    <w:p w14:paraId="37A6F265" w14:textId="77777777" w:rsidR="008233ED" w:rsidRPr="00F41E86" w:rsidRDefault="008233ED" w:rsidP="008233ED">
      <w:pPr>
        <w:numPr>
          <w:ilvl w:val="0"/>
          <w:numId w:val="19"/>
        </w:numPr>
        <w:autoSpaceDE w:val="0"/>
        <w:autoSpaceDN w:val="0"/>
        <w:adjustRightInd w:val="0"/>
        <w:jc w:val="both"/>
        <w:rPr>
          <w:rFonts w:asciiTheme="minorHAnsi" w:hAnsiTheme="minorHAnsi"/>
        </w:rPr>
      </w:pPr>
      <w:r w:rsidRPr="00F41E86">
        <w:rPr>
          <w:rFonts w:asciiTheme="minorHAnsi" w:hAnsiTheme="minorHAnsi"/>
        </w:rPr>
        <w:t>To support the provision of high-quality care by promoting the effective and appropriate use of information;</w:t>
      </w:r>
    </w:p>
    <w:p w14:paraId="1AADE0FD" w14:textId="77777777" w:rsidR="008233ED" w:rsidRPr="00F41E86" w:rsidRDefault="008233ED" w:rsidP="008233ED">
      <w:pPr>
        <w:numPr>
          <w:ilvl w:val="0"/>
          <w:numId w:val="19"/>
        </w:numPr>
        <w:autoSpaceDE w:val="0"/>
        <w:autoSpaceDN w:val="0"/>
        <w:adjustRightInd w:val="0"/>
        <w:jc w:val="both"/>
        <w:rPr>
          <w:rFonts w:asciiTheme="minorHAnsi" w:hAnsiTheme="minorHAnsi"/>
        </w:rPr>
      </w:pPr>
      <w:r w:rsidRPr="00F41E86">
        <w:rPr>
          <w:rFonts w:asciiTheme="minorHAnsi" w:hAnsiTheme="minorHAnsi"/>
        </w:rPr>
        <w:t>To encourage responsible staff to work closely together, preventing duplication of effort and enabling efficient use of resources;</w:t>
      </w:r>
    </w:p>
    <w:p w14:paraId="1B9D0AA7" w14:textId="77777777" w:rsidR="008233ED" w:rsidRPr="00F41E86" w:rsidRDefault="008233ED" w:rsidP="008233ED">
      <w:pPr>
        <w:numPr>
          <w:ilvl w:val="0"/>
          <w:numId w:val="19"/>
        </w:numPr>
        <w:autoSpaceDE w:val="0"/>
        <w:autoSpaceDN w:val="0"/>
        <w:adjustRightInd w:val="0"/>
        <w:jc w:val="both"/>
        <w:rPr>
          <w:rFonts w:asciiTheme="minorHAnsi" w:hAnsiTheme="minorHAnsi"/>
        </w:rPr>
      </w:pPr>
      <w:r w:rsidRPr="00F41E86">
        <w:rPr>
          <w:rFonts w:asciiTheme="minorHAnsi" w:hAnsiTheme="minorHAnsi"/>
        </w:rPr>
        <w:t>To develop support arrangements and provide staff with appropriate tools and support to enable them to carry out their responsibilities to consistently high standards;</w:t>
      </w:r>
    </w:p>
    <w:p w14:paraId="72AE59BE" w14:textId="77777777" w:rsidR="008233ED" w:rsidRPr="00F41E86" w:rsidRDefault="008233ED" w:rsidP="008233ED">
      <w:pPr>
        <w:numPr>
          <w:ilvl w:val="0"/>
          <w:numId w:val="19"/>
        </w:numPr>
        <w:autoSpaceDE w:val="0"/>
        <w:autoSpaceDN w:val="0"/>
        <w:adjustRightInd w:val="0"/>
        <w:jc w:val="both"/>
        <w:rPr>
          <w:rFonts w:asciiTheme="minorHAnsi" w:hAnsiTheme="minorHAnsi"/>
        </w:rPr>
      </w:pPr>
      <w:r w:rsidRPr="00F41E86">
        <w:rPr>
          <w:rFonts w:asciiTheme="minorHAnsi" w:hAnsiTheme="minorHAnsi"/>
        </w:rPr>
        <w:t>To enable the practice to understand its own performance and manage improvement in a systematic and effective manner.</w:t>
      </w:r>
    </w:p>
    <w:p w14:paraId="25B5CD41" w14:textId="77777777" w:rsidR="008233ED" w:rsidRPr="00F41E86" w:rsidRDefault="008233ED" w:rsidP="008233ED">
      <w:pPr>
        <w:autoSpaceDE w:val="0"/>
        <w:autoSpaceDN w:val="0"/>
        <w:adjustRightInd w:val="0"/>
        <w:jc w:val="both"/>
        <w:rPr>
          <w:rFonts w:asciiTheme="minorHAnsi" w:hAnsiTheme="minorHAnsi"/>
        </w:rPr>
      </w:pPr>
    </w:p>
    <w:p w14:paraId="4A8FFA93" w14:textId="77777777" w:rsidR="008233ED" w:rsidRPr="00F41E86" w:rsidRDefault="008233ED" w:rsidP="008233ED">
      <w:pPr>
        <w:autoSpaceDE w:val="0"/>
        <w:autoSpaceDN w:val="0"/>
        <w:adjustRightInd w:val="0"/>
        <w:jc w:val="both"/>
        <w:rPr>
          <w:rFonts w:asciiTheme="minorHAnsi" w:hAnsiTheme="minorHAnsi"/>
        </w:rPr>
      </w:pPr>
      <w:r w:rsidRPr="008233ED">
        <w:rPr>
          <w:rFonts w:asciiTheme="minorHAnsi" w:hAnsiTheme="minorHAnsi"/>
        </w:rPr>
        <w:t xml:space="preserve">Southfield Way Surgery </w:t>
      </w:r>
      <w:r w:rsidRPr="00F41E86">
        <w:rPr>
          <w:rFonts w:asciiTheme="minorHAnsi" w:hAnsiTheme="minorHAnsi"/>
        </w:rPr>
        <w:t>has a statutory responsibility to patients and the public to ensure that the services it provides have effective policies, processes and people in place to deliver objectives in relation to holding and using confidential and personal information. be embedded in the contracting process.</w:t>
      </w:r>
    </w:p>
    <w:p w14:paraId="108CA994" w14:textId="77777777" w:rsidR="008233ED" w:rsidRPr="00F41E86" w:rsidRDefault="008233ED" w:rsidP="008233ED">
      <w:pPr>
        <w:autoSpaceDE w:val="0"/>
        <w:autoSpaceDN w:val="0"/>
        <w:adjustRightInd w:val="0"/>
        <w:jc w:val="both"/>
        <w:rPr>
          <w:rFonts w:asciiTheme="minorHAnsi" w:hAnsiTheme="minorHAnsi"/>
        </w:rPr>
      </w:pPr>
    </w:p>
    <w:p w14:paraId="7F5253E0" w14:textId="77777777" w:rsidR="008233ED" w:rsidRPr="00F41E86" w:rsidRDefault="008233ED" w:rsidP="008233ED">
      <w:pPr>
        <w:pStyle w:val="Default"/>
        <w:ind w:left="720" w:hanging="720"/>
        <w:jc w:val="both"/>
        <w:rPr>
          <w:rFonts w:asciiTheme="minorHAnsi" w:hAnsiTheme="minorHAnsi" w:cs="Arial"/>
          <w:u w:val="single"/>
        </w:rPr>
      </w:pPr>
      <w:r w:rsidRPr="00F41E86">
        <w:rPr>
          <w:rFonts w:asciiTheme="minorHAnsi" w:hAnsiTheme="minorHAnsi" w:cs="Arial"/>
          <w:b/>
          <w:bCs/>
          <w:u w:val="single"/>
        </w:rPr>
        <w:t xml:space="preserve">Broad Objectives </w:t>
      </w:r>
    </w:p>
    <w:p w14:paraId="1468B2A9" w14:textId="77777777" w:rsidR="008233ED" w:rsidRPr="00F41E86" w:rsidRDefault="008233ED" w:rsidP="008233ED">
      <w:pPr>
        <w:pStyle w:val="Default"/>
        <w:rPr>
          <w:rFonts w:asciiTheme="minorHAnsi" w:hAnsiTheme="minorHAnsi" w:cs="Arial"/>
        </w:rPr>
      </w:pPr>
    </w:p>
    <w:p w14:paraId="0F9AC1A8" w14:textId="77777777" w:rsidR="008233ED" w:rsidRPr="00F41E86" w:rsidRDefault="008233ED" w:rsidP="008233ED">
      <w:pPr>
        <w:pStyle w:val="Default"/>
        <w:jc w:val="both"/>
        <w:rPr>
          <w:rFonts w:asciiTheme="minorHAnsi" w:hAnsiTheme="minorHAnsi" w:cs="Arial"/>
        </w:rPr>
      </w:pPr>
      <w:r w:rsidRPr="008233ED">
        <w:rPr>
          <w:rFonts w:asciiTheme="minorHAnsi" w:hAnsiTheme="minorHAnsi" w:cs="Arial"/>
        </w:rPr>
        <w:t xml:space="preserve">Southfield Way Surgery </w:t>
      </w:r>
      <w:r w:rsidRPr="00F41E86">
        <w:rPr>
          <w:rFonts w:asciiTheme="minorHAnsi" w:hAnsiTheme="minorHAnsi" w:cs="Arial"/>
        </w:rPr>
        <w:t xml:space="preserve">will ensure there is a systematic and planned approach to the management of information governance by establishing an Information Security Management System (ISMS) in line with ISO27001 and Information Security Management: NHS Code of Practice. </w:t>
      </w:r>
    </w:p>
    <w:p w14:paraId="3F040FB7" w14:textId="77777777" w:rsidR="008233ED" w:rsidRPr="00F41E86" w:rsidRDefault="008233ED" w:rsidP="008233ED">
      <w:pPr>
        <w:pStyle w:val="Default"/>
        <w:rPr>
          <w:rFonts w:asciiTheme="minorHAnsi" w:hAnsiTheme="minorHAnsi" w:cs="Arial"/>
        </w:rPr>
      </w:pPr>
    </w:p>
    <w:p w14:paraId="19DBB67A" w14:textId="77777777" w:rsidR="008233ED" w:rsidRPr="00F41E86" w:rsidRDefault="008233ED" w:rsidP="008233ED">
      <w:pPr>
        <w:pStyle w:val="Default"/>
        <w:rPr>
          <w:rFonts w:asciiTheme="minorHAnsi" w:hAnsiTheme="minorHAnsi" w:cs="Arial"/>
        </w:rPr>
      </w:pPr>
    </w:p>
    <w:p w14:paraId="1CF41561" w14:textId="77777777" w:rsidR="008233ED" w:rsidRPr="00F41E86" w:rsidRDefault="008233ED" w:rsidP="008233ED">
      <w:pPr>
        <w:pStyle w:val="Default"/>
        <w:numPr>
          <w:ilvl w:val="0"/>
          <w:numId w:val="25"/>
        </w:numPr>
        <w:jc w:val="both"/>
        <w:rPr>
          <w:rFonts w:asciiTheme="minorHAnsi" w:hAnsiTheme="minorHAnsi" w:cs="Arial"/>
        </w:rPr>
      </w:pPr>
      <w:r w:rsidRPr="00F41E86">
        <w:rPr>
          <w:rFonts w:asciiTheme="minorHAnsi" w:hAnsiTheme="minorHAnsi" w:cs="Arial"/>
        </w:rPr>
        <w:t xml:space="preserve">The effectiveness of the ISMS will be continually improved through the use of audit results, analysis of incidents, corrective and preventive actions and management reviews. </w:t>
      </w:r>
    </w:p>
    <w:p w14:paraId="5AE4E069" w14:textId="77777777" w:rsidR="008233ED" w:rsidRPr="00F41E86" w:rsidRDefault="008233ED" w:rsidP="008233ED">
      <w:pPr>
        <w:pStyle w:val="Default"/>
        <w:rPr>
          <w:rFonts w:asciiTheme="minorHAnsi" w:hAnsiTheme="minorHAnsi" w:cs="Arial"/>
        </w:rPr>
      </w:pPr>
    </w:p>
    <w:p w14:paraId="19820280" w14:textId="77777777" w:rsidR="008233ED" w:rsidRPr="00F41E86" w:rsidRDefault="008233ED" w:rsidP="008233ED">
      <w:pPr>
        <w:pStyle w:val="Default"/>
        <w:numPr>
          <w:ilvl w:val="0"/>
          <w:numId w:val="25"/>
        </w:numPr>
        <w:jc w:val="both"/>
        <w:rPr>
          <w:rFonts w:asciiTheme="minorHAnsi" w:hAnsiTheme="minorHAnsi" w:cs="Arial"/>
        </w:rPr>
      </w:pPr>
      <w:r w:rsidRPr="00F41E86">
        <w:rPr>
          <w:rFonts w:asciiTheme="minorHAnsi" w:hAnsiTheme="minorHAnsi" w:cs="Arial"/>
        </w:rPr>
        <w:lastRenderedPageBreak/>
        <w:t xml:space="preserve">All important information assets will be identified and appropriately managed and protected. Any protection applied will be based on formally documented risk assessments to ensure that it is commensurate with the value of the asset and the perceived threats. </w:t>
      </w:r>
    </w:p>
    <w:p w14:paraId="2BA6A09F" w14:textId="77777777" w:rsidR="008233ED" w:rsidRPr="00F41E86" w:rsidRDefault="008233ED" w:rsidP="008233ED">
      <w:pPr>
        <w:pStyle w:val="Default"/>
        <w:rPr>
          <w:rFonts w:asciiTheme="minorHAnsi" w:hAnsiTheme="minorHAnsi" w:cs="Arial"/>
        </w:rPr>
      </w:pPr>
    </w:p>
    <w:p w14:paraId="326CCF7A" w14:textId="77777777" w:rsidR="008233ED" w:rsidRPr="00F41E86" w:rsidRDefault="008233ED" w:rsidP="008233ED">
      <w:pPr>
        <w:pStyle w:val="Default"/>
        <w:numPr>
          <w:ilvl w:val="0"/>
          <w:numId w:val="25"/>
        </w:numPr>
        <w:jc w:val="both"/>
        <w:rPr>
          <w:rFonts w:asciiTheme="minorHAnsi" w:hAnsiTheme="minorHAnsi" w:cs="Arial"/>
        </w:rPr>
      </w:pPr>
      <w:r w:rsidRPr="00F41E86">
        <w:rPr>
          <w:rFonts w:asciiTheme="minorHAnsi" w:hAnsiTheme="minorHAnsi" w:cs="Arial"/>
        </w:rPr>
        <w:t xml:space="preserve">Actual and potential information governance related incidents will be recorded and responded to in a timely and appropriate manner; findings will be fed into the ISMS to ensure continued and ongoing improvements. </w:t>
      </w:r>
    </w:p>
    <w:p w14:paraId="13603B63" w14:textId="77777777" w:rsidR="008233ED" w:rsidRPr="00F41E86" w:rsidRDefault="008233ED" w:rsidP="008233ED">
      <w:pPr>
        <w:pStyle w:val="Default"/>
        <w:rPr>
          <w:rFonts w:asciiTheme="minorHAnsi" w:hAnsiTheme="minorHAnsi" w:cs="Arial"/>
        </w:rPr>
      </w:pPr>
    </w:p>
    <w:p w14:paraId="6DD3040D" w14:textId="77777777" w:rsidR="008233ED" w:rsidRPr="00F41E86" w:rsidRDefault="008233ED" w:rsidP="008233ED">
      <w:pPr>
        <w:pStyle w:val="Default"/>
        <w:numPr>
          <w:ilvl w:val="0"/>
          <w:numId w:val="25"/>
        </w:numPr>
        <w:jc w:val="both"/>
        <w:rPr>
          <w:rFonts w:asciiTheme="minorHAnsi" w:hAnsiTheme="minorHAnsi" w:cs="Arial"/>
        </w:rPr>
      </w:pPr>
      <w:r w:rsidRPr="00F41E86">
        <w:rPr>
          <w:rFonts w:asciiTheme="minorHAnsi" w:hAnsiTheme="minorHAnsi" w:cs="Arial"/>
        </w:rPr>
        <w:t>Steps will be taken to ensure that internal and external transfers of patient confidential information are conducted in a secure and safe manner, this will include, for example, encryption of emails and removable media holding personal information (</w:t>
      </w:r>
      <w:r w:rsidRPr="00F41E86">
        <w:rPr>
          <w:rFonts w:asciiTheme="minorHAnsi" w:hAnsiTheme="minorHAnsi" w:cs="Arial"/>
          <w:color w:val="auto"/>
        </w:rPr>
        <w:t>as mandated by the Cabinet Office Information Governance Assurance Programme in 2008).</w:t>
      </w:r>
      <w:r w:rsidRPr="00F41E86">
        <w:rPr>
          <w:rFonts w:asciiTheme="minorHAnsi" w:hAnsiTheme="minorHAnsi" w:cs="Arial"/>
        </w:rPr>
        <w:t xml:space="preserve"> </w:t>
      </w:r>
    </w:p>
    <w:p w14:paraId="534F64AD" w14:textId="77777777" w:rsidR="008233ED" w:rsidRPr="00F41E86" w:rsidRDefault="008233ED" w:rsidP="008233ED">
      <w:pPr>
        <w:pStyle w:val="Default"/>
        <w:rPr>
          <w:rFonts w:asciiTheme="minorHAnsi" w:hAnsiTheme="minorHAnsi" w:cs="Arial"/>
        </w:rPr>
      </w:pPr>
    </w:p>
    <w:p w14:paraId="27D627BA" w14:textId="77777777" w:rsidR="008233ED" w:rsidRPr="00F41E86" w:rsidRDefault="008233ED" w:rsidP="008233ED">
      <w:pPr>
        <w:pStyle w:val="Default"/>
        <w:numPr>
          <w:ilvl w:val="0"/>
          <w:numId w:val="25"/>
        </w:numPr>
        <w:jc w:val="both"/>
        <w:rPr>
          <w:rFonts w:asciiTheme="minorHAnsi" w:hAnsiTheme="minorHAnsi" w:cs="Arial"/>
        </w:rPr>
      </w:pPr>
      <w:r w:rsidRPr="00F41E86">
        <w:rPr>
          <w:rFonts w:asciiTheme="minorHAnsi" w:hAnsiTheme="minorHAnsi" w:cs="Arial"/>
        </w:rPr>
        <w:t xml:space="preserve">All staff, contractors and other relevant parties will be made aware of the organisations requirements for information security and undertake appropriate training. </w:t>
      </w:r>
    </w:p>
    <w:p w14:paraId="5DBECD1B" w14:textId="77777777" w:rsidR="008233ED" w:rsidRPr="00F41E86" w:rsidRDefault="008233ED" w:rsidP="008233ED">
      <w:pPr>
        <w:pStyle w:val="Default"/>
        <w:rPr>
          <w:rFonts w:asciiTheme="minorHAnsi" w:hAnsiTheme="minorHAnsi" w:cs="Arial"/>
        </w:rPr>
      </w:pPr>
    </w:p>
    <w:p w14:paraId="7BCF6A09" w14:textId="77777777" w:rsidR="008233ED" w:rsidRPr="00F41E86" w:rsidRDefault="008233ED" w:rsidP="008233ED">
      <w:pPr>
        <w:pStyle w:val="Default"/>
        <w:numPr>
          <w:ilvl w:val="0"/>
          <w:numId w:val="25"/>
        </w:numPr>
        <w:jc w:val="both"/>
        <w:rPr>
          <w:rFonts w:asciiTheme="minorHAnsi" w:hAnsiTheme="minorHAnsi" w:cs="Arial"/>
        </w:rPr>
      </w:pPr>
      <w:r w:rsidRPr="00F41E86">
        <w:rPr>
          <w:rFonts w:asciiTheme="minorHAnsi" w:hAnsiTheme="minorHAnsi" w:cs="Arial"/>
        </w:rPr>
        <w:t xml:space="preserve">A culture of information security awareness will be promoted and established. </w:t>
      </w:r>
    </w:p>
    <w:p w14:paraId="5F23C451" w14:textId="77777777" w:rsidR="008233ED" w:rsidRPr="00F41E86" w:rsidRDefault="008233ED" w:rsidP="008233ED">
      <w:pPr>
        <w:pStyle w:val="Default"/>
        <w:rPr>
          <w:rFonts w:asciiTheme="minorHAnsi" w:hAnsiTheme="minorHAnsi" w:cs="Arial"/>
        </w:rPr>
      </w:pPr>
    </w:p>
    <w:p w14:paraId="7A2F4ABD" w14:textId="77777777" w:rsidR="008233ED" w:rsidRPr="00F41E86" w:rsidRDefault="008233ED" w:rsidP="008233ED">
      <w:pPr>
        <w:pStyle w:val="Default"/>
        <w:numPr>
          <w:ilvl w:val="0"/>
          <w:numId w:val="25"/>
        </w:numPr>
        <w:jc w:val="both"/>
        <w:rPr>
          <w:rFonts w:asciiTheme="minorHAnsi" w:hAnsiTheme="minorHAnsi" w:cs="Arial"/>
        </w:rPr>
      </w:pPr>
      <w:r w:rsidRPr="00F41E86">
        <w:rPr>
          <w:rFonts w:asciiTheme="minorHAnsi" w:hAnsiTheme="minorHAnsi" w:cs="Arial"/>
        </w:rPr>
        <w:t xml:space="preserve">Procedures will be established to ensure that information governance requirements are addressed during the implementation, development and maintenance of services and/or systems. </w:t>
      </w:r>
    </w:p>
    <w:p w14:paraId="03532369" w14:textId="77777777" w:rsidR="008233ED" w:rsidRPr="00F41E86" w:rsidRDefault="008233ED" w:rsidP="008233ED">
      <w:pPr>
        <w:pStyle w:val="Default"/>
        <w:rPr>
          <w:rFonts w:asciiTheme="minorHAnsi" w:hAnsiTheme="minorHAnsi" w:cs="Arial"/>
        </w:rPr>
      </w:pPr>
    </w:p>
    <w:p w14:paraId="2782123E" w14:textId="77777777" w:rsidR="008233ED" w:rsidRPr="00F41E86" w:rsidRDefault="008233ED" w:rsidP="008233ED">
      <w:pPr>
        <w:pStyle w:val="Default"/>
        <w:numPr>
          <w:ilvl w:val="0"/>
          <w:numId w:val="25"/>
        </w:numPr>
        <w:jc w:val="both"/>
        <w:rPr>
          <w:rFonts w:asciiTheme="minorHAnsi" w:hAnsiTheme="minorHAnsi" w:cs="Arial"/>
        </w:rPr>
      </w:pPr>
      <w:r w:rsidRPr="00F41E86">
        <w:rPr>
          <w:rFonts w:asciiTheme="minorHAnsi" w:hAnsiTheme="minorHAnsi" w:cs="Arial"/>
        </w:rPr>
        <w:t xml:space="preserve">Business continuity plans will be developed across all services to ensure the centre is able to continue with its core business functions in the event of a failure or loss of systems or services. Appropriate procedures will be developed to ensure the timely recovery or replacement of information systems and services. The plans will be regularly tested and revised. </w:t>
      </w:r>
    </w:p>
    <w:p w14:paraId="4402969D" w14:textId="77777777" w:rsidR="008233ED" w:rsidRPr="00F41E86" w:rsidRDefault="008233ED" w:rsidP="008233ED">
      <w:pPr>
        <w:pStyle w:val="Default"/>
        <w:rPr>
          <w:rFonts w:asciiTheme="minorHAnsi" w:hAnsiTheme="minorHAnsi" w:cs="Arial"/>
        </w:rPr>
      </w:pPr>
    </w:p>
    <w:p w14:paraId="3258D775" w14:textId="77777777" w:rsidR="008233ED" w:rsidRPr="00F41E86" w:rsidRDefault="008233ED" w:rsidP="008233ED">
      <w:pPr>
        <w:pStyle w:val="Default"/>
        <w:numPr>
          <w:ilvl w:val="0"/>
          <w:numId w:val="25"/>
        </w:numPr>
        <w:jc w:val="both"/>
        <w:rPr>
          <w:rFonts w:asciiTheme="minorHAnsi" w:hAnsiTheme="minorHAnsi" w:cs="Arial"/>
        </w:rPr>
      </w:pPr>
      <w:r w:rsidRPr="00F41E86">
        <w:rPr>
          <w:rFonts w:asciiTheme="minorHAnsi" w:hAnsiTheme="minorHAnsi" w:cs="Arial"/>
        </w:rPr>
        <w:t xml:space="preserve">Systems and services will be regularly audited against information governance related policies and procedures. The results of such audits will be fed into the ISMS, the Information Governance work-plan and information risk registers to ensure continued and ongoing improvement. </w:t>
      </w:r>
    </w:p>
    <w:p w14:paraId="154E75DA" w14:textId="77777777" w:rsidR="008233ED" w:rsidRPr="00F41E86" w:rsidRDefault="008233ED" w:rsidP="008233ED">
      <w:pPr>
        <w:pStyle w:val="Default"/>
        <w:jc w:val="both"/>
        <w:rPr>
          <w:rFonts w:asciiTheme="minorHAnsi" w:hAnsiTheme="minorHAnsi" w:cs="Arial"/>
          <w:i/>
          <w:color w:val="FF0000"/>
        </w:rPr>
      </w:pPr>
    </w:p>
    <w:p w14:paraId="7E0BF792" w14:textId="77777777" w:rsidR="008233ED" w:rsidRPr="00F41E86" w:rsidRDefault="008233ED" w:rsidP="008233ED">
      <w:pPr>
        <w:pStyle w:val="Default"/>
        <w:jc w:val="both"/>
        <w:rPr>
          <w:rFonts w:asciiTheme="minorHAnsi" w:hAnsiTheme="minorHAnsi" w:cs="Arial"/>
          <w:i/>
          <w:color w:val="FF0000"/>
        </w:rPr>
      </w:pPr>
    </w:p>
    <w:p w14:paraId="2C2591E7" w14:textId="77777777" w:rsidR="008233ED" w:rsidRPr="001E7160" w:rsidRDefault="008233ED" w:rsidP="008233ED">
      <w:pPr>
        <w:pStyle w:val="Default"/>
        <w:rPr>
          <w:rFonts w:asciiTheme="minorHAnsi" w:hAnsiTheme="minorHAnsi" w:cs="Arial"/>
          <w:b/>
          <w:bCs/>
          <w:u w:val="single"/>
        </w:rPr>
      </w:pPr>
      <w:r w:rsidRPr="001E7160">
        <w:rPr>
          <w:rFonts w:asciiTheme="minorHAnsi" w:hAnsiTheme="minorHAnsi" w:cs="Arial"/>
          <w:b/>
          <w:bCs/>
          <w:u w:val="single"/>
        </w:rPr>
        <w:t>Information Security Management System (ISMS)</w:t>
      </w:r>
    </w:p>
    <w:p w14:paraId="385B1A1E" w14:textId="77777777" w:rsidR="008233ED" w:rsidRPr="00F41E86" w:rsidRDefault="008233ED" w:rsidP="008233ED">
      <w:pPr>
        <w:pStyle w:val="Default"/>
        <w:rPr>
          <w:rFonts w:asciiTheme="minorHAnsi" w:hAnsiTheme="minorHAnsi" w:cs="Arial"/>
          <w:b/>
          <w:bCs/>
        </w:rPr>
      </w:pPr>
    </w:p>
    <w:p w14:paraId="1A05CA84" w14:textId="77777777" w:rsidR="008233ED" w:rsidRPr="00F41E86" w:rsidRDefault="008233ED" w:rsidP="008233ED">
      <w:pPr>
        <w:pStyle w:val="Default"/>
        <w:jc w:val="both"/>
        <w:rPr>
          <w:rFonts w:asciiTheme="minorHAnsi" w:hAnsiTheme="minorHAnsi" w:cs="Arial"/>
        </w:rPr>
      </w:pPr>
      <w:r w:rsidRPr="008233ED">
        <w:rPr>
          <w:rFonts w:asciiTheme="minorHAnsi" w:hAnsiTheme="minorHAnsi" w:cs="Arial"/>
        </w:rPr>
        <w:t xml:space="preserve">Southfield Way Surgery </w:t>
      </w:r>
      <w:r w:rsidRPr="00F41E86">
        <w:rPr>
          <w:rFonts w:asciiTheme="minorHAnsi" w:hAnsiTheme="minorHAnsi" w:cs="Arial"/>
        </w:rPr>
        <w:t xml:space="preserve">recognise that effective information security involves more than simply installing security products such as anti-virus software and providing a security policy. The practice will establish an ISMS, which will provide a means to identify and co-ordinate the approach to the management of information security within the practice in order to protect it, and its business. </w:t>
      </w:r>
    </w:p>
    <w:p w14:paraId="6B36E6B8" w14:textId="77777777" w:rsidR="008233ED" w:rsidRPr="00F41E86" w:rsidRDefault="008233ED" w:rsidP="008233ED">
      <w:pPr>
        <w:pStyle w:val="Default"/>
        <w:jc w:val="both"/>
        <w:rPr>
          <w:rFonts w:asciiTheme="minorHAnsi" w:hAnsiTheme="minorHAnsi" w:cs="Arial"/>
        </w:rPr>
      </w:pPr>
    </w:p>
    <w:p w14:paraId="343E0699" w14:textId="77777777" w:rsidR="008233ED" w:rsidRPr="00F41E86" w:rsidRDefault="008233ED" w:rsidP="008233ED">
      <w:pPr>
        <w:pStyle w:val="Default"/>
        <w:jc w:val="both"/>
        <w:rPr>
          <w:rFonts w:asciiTheme="minorHAnsi" w:hAnsiTheme="minorHAnsi" w:cs="Arial"/>
        </w:rPr>
      </w:pPr>
      <w:r w:rsidRPr="00F41E86">
        <w:rPr>
          <w:rFonts w:asciiTheme="minorHAnsi" w:hAnsiTheme="minorHAnsi" w:cs="Arial"/>
        </w:rPr>
        <w:t>The ISMS will be based on the NHS Information Security Management Framework.</w:t>
      </w:r>
      <w:r w:rsidRPr="00F41E86">
        <w:rPr>
          <w:rFonts w:asciiTheme="minorHAnsi" w:hAnsiTheme="minorHAnsi" w:cs="Arial"/>
        </w:rPr>
        <w:tab/>
      </w:r>
    </w:p>
    <w:p w14:paraId="4A8FE8D5" w14:textId="77777777" w:rsidR="008233ED" w:rsidRPr="00F41E86" w:rsidRDefault="008233ED" w:rsidP="008233ED">
      <w:pPr>
        <w:pStyle w:val="Default"/>
        <w:jc w:val="both"/>
        <w:rPr>
          <w:rFonts w:asciiTheme="minorHAnsi" w:hAnsiTheme="minorHAnsi" w:cs="Arial"/>
        </w:rPr>
      </w:pPr>
    </w:p>
    <w:p w14:paraId="0DE417A3" w14:textId="77777777" w:rsidR="008233ED" w:rsidRPr="00F41E86" w:rsidRDefault="008233ED" w:rsidP="008233ED">
      <w:pPr>
        <w:pStyle w:val="Default"/>
        <w:jc w:val="both"/>
        <w:rPr>
          <w:rFonts w:asciiTheme="minorHAnsi" w:hAnsiTheme="minorHAnsi" w:cs="Arial"/>
          <w:color w:val="auto"/>
        </w:rPr>
      </w:pPr>
      <w:r w:rsidRPr="00F41E86">
        <w:rPr>
          <w:rFonts w:asciiTheme="minorHAnsi" w:hAnsiTheme="minorHAnsi" w:cs="Arial"/>
          <w:color w:val="auto"/>
        </w:rPr>
        <w:t>The governing principle behind the ISMS is the design, implementation and maintenance of a coherent set of policies, processes and systems to manage risks to its information assets, thus ensuring acceptable levels of information security risk.</w:t>
      </w:r>
    </w:p>
    <w:p w14:paraId="026B7D0B" w14:textId="77777777" w:rsidR="008233ED" w:rsidRPr="00F41E86" w:rsidRDefault="008233ED" w:rsidP="008233ED">
      <w:pPr>
        <w:pStyle w:val="Default"/>
        <w:jc w:val="both"/>
        <w:rPr>
          <w:rFonts w:asciiTheme="minorHAnsi" w:hAnsiTheme="minorHAnsi" w:cs="Arial"/>
          <w:color w:val="auto"/>
        </w:rPr>
      </w:pPr>
    </w:p>
    <w:p w14:paraId="70A8C4A4" w14:textId="77777777" w:rsidR="008233ED" w:rsidRPr="00F41E86" w:rsidRDefault="008233ED" w:rsidP="008233ED">
      <w:pPr>
        <w:pStyle w:val="Default"/>
        <w:jc w:val="both"/>
        <w:rPr>
          <w:rFonts w:asciiTheme="minorHAnsi" w:hAnsiTheme="minorHAnsi" w:cs="Arial"/>
        </w:rPr>
      </w:pPr>
      <w:r w:rsidRPr="00F41E86">
        <w:rPr>
          <w:rFonts w:asciiTheme="minorHAnsi" w:hAnsiTheme="minorHAnsi" w:cs="Arial"/>
        </w:rPr>
        <w:t xml:space="preserve">Based on this risk approach, we will establish, implement, operate, monitor, review, maintain and improve information security for all organisations within </w:t>
      </w:r>
      <w:r w:rsidRPr="008233ED">
        <w:rPr>
          <w:rFonts w:asciiTheme="minorHAnsi" w:hAnsiTheme="minorHAnsi" w:cs="Arial"/>
        </w:rPr>
        <w:t>Southfield Way Surgery</w:t>
      </w:r>
    </w:p>
    <w:p w14:paraId="158CC9E2" w14:textId="77777777" w:rsidR="008233ED" w:rsidRPr="00F41E86" w:rsidRDefault="008233ED" w:rsidP="008233ED">
      <w:pPr>
        <w:pStyle w:val="Default"/>
        <w:jc w:val="both"/>
        <w:rPr>
          <w:rFonts w:asciiTheme="minorHAnsi" w:hAnsiTheme="minorHAnsi" w:cs="Arial"/>
        </w:rPr>
      </w:pPr>
    </w:p>
    <w:p w14:paraId="5529A8B5" w14:textId="77777777" w:rsidR="008233ED" w:rsidRPr="00F41E86" w:rsidRDefault="008233ED" w:rsidP="008233ED">
      <w:pPr>
        <w:pStyle w:val="Default"/>
        <w:jc w:val="both"/>
        <w:rPr>
          <w:rFonts w:asciiTheme="minorHAnsi" w:hAnsiTheme="minorHAnsi" w:cs="Arial"/>
        </w:rPr>
      </w:pPr>
      <w:r w:rsidRPr="00F41E86">
        <w:rPr>
          <w:rFonts w:asciiTheme="minorHAnsi" w:hAnsiTheme="minorHAnsi" w:cs="Arial"/>
        </w:rPr>
        <w:lastRenderedPageBreak/>
        <w:t>The Core Elements of an effective Information Security Management System are summarised in the following Plan-Do-Check-Act model.</w:t>
      </w:r>
    </w:p>
    <w:p w14:paraId="3A3A1E24" w14:textId="77777777" w:rsidR="008233ED" w:rsidRPr="00F41E86" w:rsidRDefault="008233ED" w:rsidP="008233ED">
      <w:pPr>
        <w:pStyle w:val="Default"/>
        <w:jc w:val="both"/>
        <w:rPr>
          <w:rFonts w:asciiTheme="minorHAnsi" w:hAnsiTheme="minorHAnsi" w:cs="Arial"/>
        </w:rPr>
      </w:pPr>
    </w:p>
    <w:p w14:paraId="62A3249E" w14:textId="77777777" w:rsidR="008233ED" w:rsidRPr="00F41E86" w:rsidRDefault="008233ED" w:rsidP="008233ED">
      <w:pPr>
        <w:pStyle w:val="Default"/>
        <w:jc w:val="both"/>
        <w:rPr>
          <w:rFonts w:asciiTheme="minorHAnsi" w:hAnsiTheme="minorHAnsi" w:cs="Arial"/>
        </w:rPr>
      </w:pPr>
    </w:p>
    <w:p w14:paraId="27C09D90" w14:textId="77777777" w:rsidR="008233ED" w:rsidRPr="00F41E86" w:rsidRDefault="008233ED" w:rsidP="008233ED">
      <w:pPr>
        <w:pStyle w:val="Default"/>
        <w:jc w:val="both"/>
        <w:rPr>
          <w:rFonts w:asciiTheme="minorHAnsi" w:hAnsiTheme="minorHAnsi" w:cs="Arial"/>
        </w:rPr>
      </w:pPr>
      <w:r w:rsidRPr="00F41E86">
        <w:rPr>
          <w:rFonts w:asciiTheme="minorHAnsi" w:hAnsiTheme="minorHAnsi" w:cs="Arial"/>
          <w:noProof/>
          <w:lang w:val="en-GB" w:eastAsia="en-GB"/>
        </w:rPr>
        <w:drawing>
          <wp:inline distT="0" distB="0" distL="0" distR="0" wp14:anchorId="54ECCA6F" wp14:editId="286AD0CC">
            <wp:extent cx="3914775" cy="2200910"/>
            <wp:effectExtent l="0" t="19050" r="0" b="46990"/>
            <wp:docPr id="1" name="Diagram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236960D3" w14:textId="77777777" w:rsidR="008233ED" w:rsidRPr="00F41E86" w:rsidRDefault="008233ED" w:rsidP="008233ED">
      <w:pPr>
        <w:pStyle w:val="Default"/>
        <w:jc w:val="both"/>
        <w:rPr>
          <w:rFonts w:asciiTheme="minorHAnsi" w:hAnsiTheme="minorHAnsi" w:cs="Arial"/>
        </w:rPr>
      </w:pPr>
    </w:p>
    <w:p w14:paraId="1CB44B62" w14:textId="77777777" w:rsidR="008233ED" w:rsidRPr="00F41E86" w:rsidRDefault="008233ED" w:rsidP="008233ED">
      <w:pPr>
        <w:pStyle w:val="Default"/>
        <w:jc w:val="both"/>
        <w:rPr>
          <w:rFonts w:asciiTheme="minorHAnsi" w:hAnsiTheme="minorHAnsi" w:cs="Arial"/>
        </w:rPr>
      </w:pPr>
    </w:p>
    <w:p w14:paraId="4BBCA214" w14:textId="77777777" w:rsidR="008233ED" w:rsidRPr="00F41E86" w:rsidRDefault="008233ED" w:rsidP="008233ED">
      <w:pPr>
        <w:pStyle w:val="Default"/>
        <w:jc w:val="both"/>
        <w:rPr>
          <w:rFonts w:asciiTheme="minorHAnsi" w:hAnsiTheme="minorHAnsi" w:cs="Arial"/>
        </w:rPr>
      </w:pPr>
      <w:r w:rsidRPr="00F41E86">
        <w:rPr>
          <w:rFonts w:asciiTheme="minorHAnsi" w:hAnsiTheme="minorHAnsi" w:cs="Arial"/>
          <w:b/>
          <w:bCs/>
        </w:rPr>
        <w:t xml:space="preserve">PLAN - Establish the ISMS </w:t>
      </w:r>
    </w:p>
    <w:p w14:paraId="1EA2AAF1" w14:textId="77777777" w:rsidR="008233ED" w:rsidRPr="00F41E86" w:rsidRDefault="008233ED" w:rsidP="008233ED">
      <w:pPr>
        <w:pStyle w:val="Default"/>
        <w:rPr>
          <w:rFonts w:asciiTheme="minorHAnsi" w:hAnsiTheme="minorHAnsi" w:cs="Arial"/>
        </w:rPr>
      </w:pPr>
    </w:p>
    <w:p w14:paraId="61849293" w14:textId="77777777" w:rsidR="008233ED" w:rsidRPr="00F41E86" w:rsidRDefault="008233ED" w:rsidP="008233ED">
      <w:pPr>
        <w:pStyle w:val="Default"/>
        <w:numPr>
          <w:ilvl w:val="0"/>
          <w:numId w:val="26"/>
        </w:numPr>
        <w:jc w:val="both"/>
        <w:rPr>
          <w:rFonts w:asciiTheme="minorHAnsi" w:hAnsiTheme="minorHAnsi" w:cs="Arial"/>
        </w:rPr>
      </w:pPr>
      <w:r w:rsidRPr="00F41E86">
        <w:rPr>
          <w:rFonts w:asciiTheme="minorHAnsi" w:hAnsiTheme="minorHAnsi" w:cs="Arial"/>
        </w:rPr>
        <w:t xml:space="preserve">Define the business needs for information security and set those out in a corporate Information Security Policy </w:t>
      </w:r>
    </w:p>
    <w:p w14:paraId="35F805FE" w14:textId="77777777" w:rsidR="008233ED" w:rsidRPr="00F41E86" w:rsidRDefault="008233ED" w:rsidP="008233ED">
      <w:pPr>
        <w:pStyle w:val="Default"/>
        <w:ind w:left="1440" w:hanging="360"/>
        <w:jc w:val="both"/>
        <w:rPr>
          <w:rFonts w:asciiTheme="minorHAnsi" w:hAnsiTheme="minorHAnsi" w:cs="Arial"/>
        </w:rPr>
      </w:pPr>
    </w:p>
    <w:p w14:paraId="070AAD08" w14:textId="77777777" w:rsidR="008233ED" w:rsidRPr="00F41E86" w:rsidRDefault="008233ED" w:rsidP="008233ED">
      <w:pPr>
        <w:pStyle w:val="Default"/>
        <w:numPr>
          <w:ilvl w:val="0"/>
          <w:numId w:val="26"/>
        </w:numPr>
        <w:jc w:val="both"/>
        <w:rPr>
          <w:rFonts w:asciiTheme="minorHAnsi" w:hAnsiTheme="minorHAnsi" w:cs="Arial"/>
        </w:rPr>
      </w:pPr>
      <w:r w:rsidRPr="00F41E86">
        <w:rPr>
          <w:rFonts w:asciiTheme="minorHAnsi" w:hAnsiTheme="minorHAnsi" w:cs="Arial"/>
        </w:rPr>
        <w:t xml:space="preserve">Identify and assess the risks to Information Security </w:t>
      </w:r>
    </w:p>
    <w:p w14:paraId="3F9CB185" w14:textId="77777777" w:rsidR="008233ED" w:rsidRPr="00F41E86" w:rsidRDefault="008233ED" w:rsidP="008233ED">
      <w:pPr>
        <w:pStyle w:val="Default"/>
        <w:ind w:left="1440" w:hanging="360"/>
        <w:jc w:val="both"/>
        <w:rPr>
          <w:rFonts w:asciiTheme="minorHAnsi" w:hAnsiTheme="minorHAnsi" w:cs="Arial"/>
        </w:rPr>
      </w:pPr>
    </w:p>
    <w:p w14:paraId="79531C32" w14:textId="77777777" w:rsidR="008233ED" w:rsidRPr="00F41E86" w:rsidRDefault="008233ED" w:rsidP="008233ED">
      <w:pPr>
        <w:pStyle w:val="Default"/>
        <w:numPr>
          <w:ilvl w:val="0"/>
          <w:numId w:val="26"/>
        </w:numPr>
        <w:jc w:val="both"/>
        <w:rPr>
          <w:rFonts w:asciiTheme="minorHAnsi" w:hAnsiTheme="minorHAnsi" w:cs="Arial"/>
        </w:rPr>
      </w:pPr>
      <w:r w:rsidRPr="00F41E86">
        <w:rPr>
          <w:rFonts w:asciiTheme="minorHAnsi" w:hAnsiTheme="minorHAnsi" w:cs="Arial"/>
        </w:rPr>
        <w:t xml:space="preserve">Identify and evaluate controls to be established to manage the information security risks identified, transfer the risks or accept them as appropriate. </w:t>
      </w:r>
    </w:p>
    <w:p w14:paraId="046DA50D" w14:textId="77777777" w:rsidR="008233ED" w:rsidRPr="00F41E86" w:rsidRDefault="008233ED" w:rsidP="008233ED">
      <w:pPr>
        <w:pStyle w:val="Default"/>
        <w:rPr>
          <w:rFonts w:asciiTheme="minorHAnsi" w:hAnsiTheme="minorHAnsi" w:cs="Arial"/>
        </w:rPr>
      </w:pPr>
    </w:p>
    <w:p w14:paraId="7D619300" w14:textId="77777777" w:rsidR="008233ED" w:rsidRPr="00F41E86" w:rsidRDefault="008233ED" w:rsidP="008233ED">
      <w:pPr>
        <w:pStyle w:val="Default"/>
        <w:rPr>
          <w:rFonts w:asciiTheme="minorHAnsi" w:hAnsiTheme="minorHAnsi" w:cs="Arial"/>
        </w:rPr>
      </w:pPr>
    </w:p>
    <w:p w14:paraId="23515872" w14:textId="77777777" w:rsidR="008233ED" w:rsidRPr="00F41E86" w:rsidRDefault="008233ED" w:rsidP="008233ED">
      <w:pPr>
        <w:pStyle w:val="Default"/>
        <w:jc w:val="both"/>
        <w:rPr>
          <w:rFonts w:asciiTheme="minorHAnsi" w:hAnsiTheme="minorHAnsi" w:cs="Arial"/>
        </w:rPr>
      </w:pPr>
      <w:r w:rsidRPr="00F41E86">
        <w:rPr>
          <w:rFonts w:asciiTheme="minorHAnsi" w:hAnsiTheme="minorHAnsi" w:cs="Arial"/>
          <w:b/>
          <w:bCs/>
        </w:rPr>
        <w:t xml:space="preserve">DO - Implement and operate the ISMS </w:t>
      </w:r>
    </w:p>
    <w:p w14:paraId="02BAC132" w14:textId="77777777" w:rsidR="008233ED" w:rsidRPr="00F41E86" w:rsidRDefault="008233ED" w:rsidP="008233ED">
      <w:pPr>
        <w:pStyle w:val="Default"/>
        <w:rPr>
          <w:rFonts w:asciiTheme="minorHAnsi" w:hAnsiTheme="minorHAnsi" w:cs="Arial"/>
        </w:rPr>
      </w:pPr>
    </w:p>
    <w:p w14:paraId="51923BFB" w14:textId="77777777" w:rsidR="008233ED" w:rsidRPr="00F41E86" w:rsidRDefault="008233ED" w:rsidP="008233ED">
      <w:pPr>
        <w:pStyle w:val="Default"/>
        <w:numPr>
          <w:ilvl w:val="0"/>
          <w:numId w:val="27"/>
        </w:numPr>
        <w:jc w:val="both"/>
        <w:rPr>
          <w:rFonts w:asciiTheme="minorHAnsi" w:hAnsiTheme="minorHAnsi" w:cs="Arial"/>
        </w:rPr>
      </w:pPr>
      <w:r w:rsidRPr="00F41E86">
        <w:rPr>
          <w:rFonts w:asciiTheme="minorHAnsi" w:hAnsiTheme="minorHAnsi" w:cs="Arial"/>
        </w:rPr>
        <w:t xml:space="preserve">Develop and implement action plans to manage the identified information security risks </w:t>
      </w:r>
    </w:p>
    <w:p w14:paraId="7213FB74" w14:textId="77777777" w:rsidR="008233ED" w:rsidRPr="00F41E86" w:rsidRDefault="008233ED" w:rsidP="008233ED">
      <w:pPr>
        <w:pStyle w:val="Default"/>
        <w:ind w:left="1440" w:hanging="360"/>
        <w:jc w:val="both"/>
        <w:rPr>
          <w:rFonts w:asciiTheme="minorHAnsi" w:hAnsiTheme="minorHAnsi" w:cs="Arial"/>
        </w:rPr>
      </w:pPr>
    </w:p>
    <w:p w14:paraId="03A277DF" w14:textId="77777777" w:rsidR="008233ED" w:rsidRPr="00F41E86" w:rsidRDefault="008233ED" w:rsidP="008233ED">
      <w:pPr>
        <w:pStyle w:val="Default"/>
        <w:numPr>
          <w:ilvl w:val="0"/>
          <w:numId w:val="27"/>
        </w:numPr>
        <w:jc w:val="both"/>
        <w:rPr>
          <w:rFonts w:asciiTheme="minorHAnsi" w:hAnsiTheme="minorHAnsi" w:cs="Arial"/>
        </w:rPr>
      </w:pPr>
      <w:r w:rsidRPr="00F41E86">
        <w:rPr>
          <w:rFonts w:asciiTheme="minorHAnsi" w:hAnsiTheme="minorHAnsi" w:cs="Arial"/>
        </w:rPr>
        <w:t xml:space="preserve">Implement training and awareness for all relevant staff </w:t>
      </w:r>
    </w:p>
    <w:p w14:paraId="0ADD5AB1" w14:textId="77777777" w:rsidR="008233ED" w:rsidRPr="00F41E86" w:rsidRDefault="008233ED" w:rsidP="008233ED">
      <w:pPr>
        <w:pStyle w:val="Default"/>
        <w:rPr>
          <w:rFonts w:asciiTheme="minorHAnsi" w:hAnsiTheme="minorHAnsi" w:cs="Arial"/>
        </w:rPr>
      </w:pPr>
    </w:p>
    <w:p w14:paraId="68ECE003" w14:textId="77777777" w:rsidR="008233ED" w:rsidRPr="00F41E86" w:rsidRDefault="008233ED" w:rsidP="008233ED">
      <w:pPr>
        <w:pStyle w:val="Default"/>
        <w:rPr>
          <w:rFonts w:asciiTheme="minorHAnsi" w:hAnsiTheme="minorHAnsi" w:cs="Arial"/>
        </w:rPr>
      </w:pPr>
    </w:p>
    <w:p w14:paraId="625AB744" w14:textId="77777777" w:rsidR="008233ED" w:rsidRPr="00F41E86" w:rsidRDefault="008233ED" w:rsidP="008233ED">
      <w:pPr>
        <w:pStyle w:val="Default"/>
        <w:jc w:val="both"/>
        <w:rPr>
          <w:rFonts w:asciiTheme="minorHAnsi" w:hAnsiTheme="minorHAnsi" w:cs="Arial"/>
        </w:rPr>
      </w:pPr>
      <w:r w:rsidRPr="00F41E86">
        <w:rPr>
          <w:rFonts w:asciiTheme="minorHAnsi" w:hAnsiTheme="minorHAnsi" w:cs="Arial"/>
          <w:b/>
          <w:bCs/>
        </w:rPr>
        <w:t xml:space="preserve">CHECK - Monitor and review the ISMS </w:t>
      </w:r>
    </w:p>
    <w:p w14:paraId="4D35A649" w14:textId="77777777" w:rsidR="008233ED" w:rsidRPr="00F41E86" w:rsidRDefault="008233ED" w:rsidP="008233ED">
      <w:pPr>
        <w:pStyle w:val="Default"/>
        <w:rPr>
          <w:rFonts w:asciiTheme="minorHAnsi" w:hAnsiTheme="minorHAnsi" w:cs="Arial"/>
        </w:rPr>
      </w:pPr>
    </w:p>
    <w:p w14:paraId="1E391EA8" w14:textId="77777777" w:rsidR="008233ED" w:rsidRPr="00F41E86" w:rsidRDefault="008233ED" w:rsidP="008233ED">
      <w:pPr>
        <w:pStyle w:val="Default"/>
        <w:numPr>
          <w:ilvl w:val="0"/>
          <w:numId w:val="28"/>
        </w:numPr>
        <w:jc w:val="both"/>
        <w:rPr>
          <w:rFonts w:asciiTheme="minorHAnsi" w:hAnsiTheme="minorHAnsi" w:cs="Arial"/>
        </w:rPr>
      </w:pPr>
      <w:r w:rsidRPr="00F41E86">
        <w:rPr>
          <w:rFonts w:asciiTheme="minorHAnsi" w:hAnsiTheme="minorHAnsi" w:cs="Arial"/>
        </w:rPr>
        <w:t xml:space="preserve">Establish processes to identify actual and potential information security incidents or system weaknesses </w:t>
      </w:r>
    </w:p>
    <w:p w14:paraId="1059C83C" w14:textId="77777777" w:rsidR="008233ED" w:rsidRPr="00F41E86" w:rsidRDefault="008233ED" w:rsidP="008233ED">
      <w:pPr>
        <w:pStyle w:val="Default"/>
        <w:ind w:left="1440" w:hanging="360"/>
        <w:jc w:val="both"/>
        <w:rPr>
          <w:rFonts w:asciiTheme="minorHAnsi" w:hAnsiTheme="minorHAnsi" w:cs="Arial"/>
        </w:rPr>
      </w:pPr>
    </w:p>
    <w:p w14:paraId="5F6357EC" w14:textId="77777777" w:rsidR="008233ED" w:rsidRPr="00F41E86" w:rsidRDefault="008233ED" w:rsidP="008233ED">
      <w:pPr>
        <w:pStyle w:val="Default"/>
        <w:numPr>
          <w:ilvl w:val="0"/>
          <w:numId w:val="28"/>
        </w:numPr>
        <w:jc w:val="both"/>
        <w:rPr>
          <w:rFonts w:asciiTheme="minorHAnsi" w:hAnsiTheme="minorHAnsi" w:cs="Arial"/>
        </w:rPr>
      </w:pPr>
      <w:r w:rsidRPr="00F41E86">
        <w:rPr>
          <w:rFonts w:asciiTheme="minorHAnsi" w:hAnsiTheme="minorHAnsi" w:cs="Arial"/>
        </w:rPr>
        <w:t xml:space="preserve">Monitor and update information security risk assessments as required </w:t>
      </w:r>
    </w:p>
    <w:p w14:paraId="0130E66F" w14:textId="77777777" w:rsidR="008233ED" w:rsidRPr="00F41E86" w:rsidRDefault="008233ED" w:rsidP="008233ED">
      <w:pPr>
        <w:pStyle w:val="Default"/>
        <w:ind w:left="1440" w:hanging="360"/>
        <w:jc w:val="both"/>
        <w:rPr>
          <w:rFonts w:asciiTheme="minorHAnsi" w:hAnsiTheme="minorHAnsi" w:cs="Arial"/>
        </w:rPr>
      </w:pPr>
    </w:p>
    <w:p w14:paraId="4C04E0CD" w14:textId="77777777" w:rsidR="008233ED" w:rsidRPr="00F41E86" w:rsidRDefault="008233ED" w:rsidP="008233ED">
      <w:pPr>
        <w:pStyle w:val="Default"/>
        <w:numPr>
          <w:ilvl w:val="0"/>
          <w:numId w:val="28"/>
        </w:numPr>
        <w:jc w:val="both"/>
        <w:rPr>
          <w:rFonts w:asciiTheme="minorHAnsi" w:hAnsiTheme="minorHAnsi" w:cs="Arial"/>
        </w:rPr>
      </w:pPr>
      <w:r w:rsidRPr="00F41E86">
        <w:rPr>
          <w:rFonts w:asciiTheme="minorHAnsi" w:hAnsiTheme="minorHAnsi" w:cs="Arial"/>
        </w:rPr>
        <w:t xml:space="preserve">Monitor the effectiveness of the ISMS in managing information risks through internal reviews and independent audit. </w:t>
      </w:r>
    </w:p>
    <w:p w14:paraId="72310651" w14:textId="77777777" w:rsidR="008233ED" w:rsidRPr="00F41E86" w:rsidRDefault="008233ED" w:rsidP="008233ED">
      <w:pPr>
        <w:pStyle w:val="Default"/>
        <w:ind w:left="1440" w:hanging="360"/>
        <w:jc w:val="both"/>
        <w:rPr>
          <w:rFonts w:asciiTheme="minorHAnsi" w:hAnsiTheme="minorHAnsi" w:cs="Arial"/>
        </w:rPr>
      </w:pPr>
    </w:p>
    <w:p w14:paraId="5DCC41AB" w14:textId="77777777" w:rsidR="008233ED" w:rsidRPr="00F41E86" w:rsidRDefault="008233ED" w:rsidP="008233ED">
      <w:pPr>
        <w:pStyle w:val="Default"/>
        <w:numPr>
          <w:ilvl w:val="0"/>
          <w:numId w:val="28"/>
        </w:numPr>
        <w:jc w:val="both"/>
        <w:rPr>
          <w:rFonts w:asciiTheme="minorHAnsi" w:hAnsiTheme="minorHAnsi" w:cs="Arial"/>
        </w:rPr>
      </w:pPr>
      <w:r w:rsidRPr="00F41E86">
        <w:rPr>
          <w:rFonts w:asciiTheme="minorHAnsi" w:hAnsiTheme="minorHAnsi" w:cs="Arial"/>
        </w:rPr>
        <w:t xml:space="preserve">Report the results to management for review. </w:t>
      </w:r>
    </w:p>
    <w:p w14:paraId="00001ADC" w14:textId="77777777" w:rsidR="008233ED" w:rsidRPr="00F41E86" w:rsidRDefault="008233ED" w:rsidP="008233ED">
      <w:pPr>
        <w:pStyle w:val="Default"/>
        <w:rPr>
          <w:rFonts w:asciiTheme="minorHAnsi" w:hAnsiTheme="minorHAnsi" w:cs="Arial"/>
        </w:rPr>
      </w:pPr>
    </w:p>
    <w:p w14:paraId="1F132651" w14:textId="77777777" w:rsidR="008233ED" w:rsidRPr="00F41E86" w:rsidRDefault="008233ED" w:rsidP="008233ED">
      <w:pPr>
        <w:pStyle w:val="Default"/>
        <w:jc w:val="both"/>
        <w:rPr>
          <w:rFonts w:asciiTheme="minorHAnsi" w:hAnsiTheme="minorHAnsi" w:cs="Arial"/>
        </w:rPr>
      </w:pPr>
      <w:r w:rsidRPr="00F41E86">
        <w:rPr>
          <w:rFonts w:asciiTheme="minorHAnsi" w:hAnsiTheme="minorHAnsi" w:cs="Arial"/>
          <w:b/>
          <w:bCs/>
        </w:rPr>
        <w:t xml:space="preserve">ACT - Maintain and improve the ISMS </w:t>
      </w:r>
    </w:p>
    <w:p w14:paraId="3CB1B457" w14:textId="77777777" w:rsidR="008233ED" w:rsidRPr="00F41E86" w:rsidRDefault="008233ED" w:rsidP="008233ED">
      <w:pPr>
        <w:pStyle w:val="Default"/>
        <w:rPr>
          <w:rFonts w:asciiTheme="minorHAnsi" w:hAnsiTheme="minorHAnsi" w:cs="Arial"/>
        </w:rPr>
      </w:pPr>
    </w:p>
    <w:p w14:paraId="086036BD" w14:textId="77777777" w:rsidR="008233ED" w:rsidRPr="00F41E86" w:rsidRDefault="008233ED" w:rsidP="008233ED">
      <w:pPr>
        <w:pStyle w:val="Default"/>
        <w:numPr>
          <w:ilvl w:val="0"/>
          <w:numId w:val="29"/>
        </w:numPr>
        <w:rPr>
          <w:rFonts w:asciiTheme="minorHAnsi" w:hAnsiTheme="minorHAnsi" w:cs="Arial"/>
        </w:rPr>
      </w:pPr>
      <w:r w:rsidRPr="00F41E86">
        <w:rPr>
          <w:rFonts w:asciiTheme="minorHAnsi" w:hAnsiTheme="minorHAnsi" w:cs="Arial"/>
        </w:rPr>
        <w:lastRenderedPageBreak/>
        <w:t xml:space="preserve">Take corrective and preventative actions, based on the results of audits and management reviews or other relevant information, to achieve continual improvement of the ISMS. </w:t>
      </w:r>
    </w:p>
    <w:p w14:paraId="6E20AEEC" w14:textId="77777777" w:rsidR="008233ED" w:rsidRPr="00F41E86" w:rsidRDefault="008233ED" w:rsidP="008233ED">
      <w:pPr>
        <w:pStyle w:val="Default"/>
        <w:rPr>
          <w:rFonts w:asciiTheme="minorHAnsi" w:hAnsiTheme="minorHAnsi" w:cs="Arial"/>
        </w:rPr>
      </w:pPr>
    </w:p>
    <w:p w14:paraId="76E391C3" w14:textId="77777777" w:rsidR="008233ED" w:rsidRPr="00F41E86" w:rsidRDefault="008233ED" w:rsidP="008233ED">
      <w:pPr>
        <w:pStyle w:val="Default"/>
        <w:jc w:val="both"/>
        <w:rPr>
          <w:rFonts w:asciiTheme="minorHAnsi" w:hAnsiTheme="minorHAnsi" w:cs="Arial"/>
          <w:color w:val="auto"/>
        </w:rPr>
      </w:pPr>
      <w:r w:rsidRPr="00F41E86">
        <w:rPr>
          <w:rFonts w:asciiTheme="minorHAnsi" w:hAnsiTheme="minorHAnsi" w:cs="Arial"/>
          <w:color w:val="auto"/>
        </w:rPr>
        <w:t>Following the principles of the above model, an Information Governance Work-plan for the practice will be created. This encompasses the requirements of the Information Governance toolkit (DS&amp;P Toolkit), legal and NHS requirements and the results of audits and risk assessments. The work-plan will be carefully monitored and regularly reviewed and revised, to ensure it continues to meet the information governance requirements of the practice and ensure continuous improvement.</w:t>
      </w:r>
    </w:p>
    <w:p w14:paraId="135BD3C3" w14:textId="77777777" w:rsidR="008233ED" w:rsidRPr="00F41E86" w:rsidRDefault="008233ED" w:rsidP="008233ED">
      <w:pPr>
        <w:pStyle w:val="Default"/>
        <w:jc w:val="both"/>
        <w:rPr>
          <w:rFonts w:asciiTheme="minorHAnsi" w:hAnsiTheme="minorHAnsi" w:cs="Arial"/>
          <w:i/>
          <w:color w:val="FF0000"/>
        </w:rPr>
      </w:pPr>
    </w:p>
    <w:p w14:paraId="44D7A54C" w14:textId="77777777" w:rsidR="008233ED" w:rsidRPr="00F41E86" w:rsidRDefault="008233ED" w:rsidP="008233ED">
      <w:pPr>
        <w:pStyle w:val="BodyTextIndent"/>
        <w:spacing w:after="240"/>
        <w:ind w:left="0"/>
        <w:jc w:val="both"/>
        <w:rPr>
          <w:rFonts w:asciiTheme="minorHAnsi" w:hAnsiTheme="minorHAnsi" w:cs="Arial"/>
          <w:b/>
          <w:sz w:val="24"/>
          <w:szCs w:val="24"/>
          <w:u w:val="single"/>
        </w:rPr>
      </w:pPr>
      <w:r w:rsidRPr="00F41E86">
        <w:rPr>
          <w:rFonts w:asciiTheme="minorHAnsi" w:hAnsiTheme="minorHAnsi" w:cs="Arial"/>
          <w:b/>
          <w:sz w:val="24"/>
          <w:szCs w:val="24"/>
          <w:u w:val="single"/>
        </w:rPr>
        <w:t>Information Governance Definition</w:t>
      </w:r>
    </w:p>
    <w:p w14:paraId="1FED3D10" w14:textId="77777777" w:rsidR="008233ED" w:rsidRPr="00F41E86" w:rsidRDefault="008233ED" w:rsidP="008233ED">
      <w:pPr>
        <w:pStyle w:val="BodyTextIndent"/>
        <w:spacing w:after="240"/>
        <w:ind w:left="0"/>
        <w:jc w:val="both"/>
        <w:rPr>
          <w:rFonts w:asciiTheme="minorHAnsi" w:hAnsiTheme="minorHAnsi" w:cs="Arial"/>
          <w:b/>
          <w:sz w:val="24"/>
          <w:szCs w:val="24"/>
        </w:rPr>
      </w:pPr>
      <w:r w:rsidRPr="00F41E86">
        <w:rPr>
          <w:rFonts w:asciiTheme="minorHAnsi" w:hAnsiTheme="minorHAnsi" w:cs="Arial"/>
          <w:sz w:val="24"/>
          <w:szCs w:val="24"/>
        </w:rPr>
        <w:t xml:space="preserve">Information Governance is “a framework for handling information in a confidential and secure manner to appropriate ethical and quality standards in modern health services”. It brings together within a singular cohesive framework, the interdependent requirements and standards of practice. This policy forms part of </w:t>
      </w:r>
      <w:r>
        <w:rPr>
          <w:rFonts w:asciiTheme="minorHAnsi" w:hAnsiTheme="minorHAnsi" w:cs="Arial"/>
          <w:sz w:val="24"/>
          <w:szCs w:val="24"/>
        </w:rPr>
        <w:t>the practice</w:t>
      </w:r>
      <w:r w:rsidRPr="00F41E86">
        <w:rPr>
          <w:rFonts w:asciiTheme="minorHAnsi" w:hAnsiTheme="minorHAnsi" w:cs="Arial"/>
          <w:sz w:val="24"/>
          <w:szCs w:val="24"/>
        </w:rPr>
        <w:t>’s overall Practice Assurance Framework.</w:t>
      </w:r>
    </w:p>
    <w:p w14:paraId="6B4C4A3A" w14:textId="77777777" w:rsidR="008233ED" w:rsidRPr="00F41E86" w:rsidRDefault="008233ED" w:rsidP="008233ED">
      <w:pPr>
        <w:pStyle w:val="BodyTextIndent"/>
        <w:spacing w:after="240"/>
        <w:ind w:left="0"/>
        <w:jc w:val="both"/>
        <w:rPr>
          <w:rFonts w:asciiTheme="minorHAnsi" w:hAnsiTheme="minorHAnsi" w:cs="Arial"/>
          <w:sz w:val="24"/>
          <w:szCs w:val="24"/>
        </w:rPr>
      </w:pPr>
      <w:r w:rsidRPr="00F41E86">
        <w:rPr>
          <w:rFonts w:asciiTheme="minorHAnsi" w:hAnsiTheme="minorHAnsi" w:cs="Arial"/>
          <w:sz w:val="24"/>
          <w:szCs w:val="24"/>
        </w:rPr>
        <w:t>IG is defined by the requirements that the organisation is required to demonstrate compliance with as part of the IG Toolkit Annual Assessment (DS&amp;P toolkit from 2018), these include the following domains:</w:t>
      </w:r>
    </w:p>
    <w:p w14:paraId="68C894D8" w14:textId="77777777" w:rsidR="008233ED" w:rsidRPr="00F41E86" w:rsidRDefault="008233ED" w:rsidP="008233ED">
      <w:pPr>
        <w:numPr>
          <w:ilvl w:val="0"/>
          <w:numId w:val="5"/>
        </w:numPr>
        <w:autoSpaceDE w:val="0"/>
        <w:autoSpaceDN w:val="0"/>
        <w:adjustRightInd w:val="0"/>
        <w:jc w:val="both"/>
        <w:rPr>
          <w:rFonts w:asciiTheme="minorHAnsi" w:hAnsiTheme="minorHAnsi"/>
        </w:rPr>
      </w:pPr>
      <w:r w:rsidRPr="00F41E86">
        <w:rPr>
          <w:rFonts w:asciiTheme="minorHAnsi" w:hAnsiTheme="minorHAnsi"/>
        </w:rPr>
        <w:t>Information Governance Management</w:t>
      </w:r>
    </w:p>
    <w:p w14:paraId="72031362" w14:textId="77777777" w:rsidR="008233ED" w:rsidRPr="00F41E86" w:rsidRDefault="008233ED" w:rsidP="008233ED">
      <w:pPr>
        <w:numPr>
          <w:ilvl w:val="0"/>
          <w:numId w:val="5"/>
        </w:numPr>
        <w:autoSpaceDE w:val="0"/>
        <w:autoSpaceDN w:val="0"/>
        <w:adjustRightInd w:val="0"/>
        <w:jc w:val="both"/>
        <w:rPr>
          <w:rFonts w:asciiTheme="minorHAnsi" w:hAnsiTheme="minorHAnsi"/>
        </w:rPr>
      </w:pPr>
      <w:r w:rsidRPr="00F41E86">
        <w:rPr>
          <w:rFonts w:asciiTheme="minorHAnsi" w:hAnsiTheme="minorHAnsi"/>
        </w:rPr>
        <w:t>Confidentiality and Data Protection Assurance</w:t>
      </w:r>
    </w:p>
    <w:p w14:paraId="7B0B8C89" w14:textId="77777777" w:rsidR="008233ED" w:rsidRPr="00F41E86" w:rsidRDefault="008233ED" w:rsidP="008233ED">
      <w:pPr>
        <w:numPr>
          <w:ilvl w:val="0"/>
          <w:numId w:val="5"/>
        </w:numPr>
        <w:autoSpaceDE w:val="0"/>
        <w:autoSpaceDN w:val="0"/>
        <w:adjustRightInd w:val="0"/>
        <w:jc w:val="both"/>
        <w:rPr>
          <w:rFonts w:asciiTheme="minorHAnsi" w:hAnsiTheme="minorHAnsi"/>
        </w:rPr>
      </w:pPr>
      <w:r w:rsidRPr="00F41E86">
        <w:rPr>
          <w:rFonts w:asciiTheme="minorHAnsi" w:hAnsiTheme="minorHAnsi"/>
        </w:rPr>
        <w:t>Information Security Assurance</w:t>
      </w:r>
    </w:p>
    <w:p w14:paraId="051B6061" w14:textId="77777777" w:rsidR="008233ED" w:rsidRPr="00F41E86" w:rsidRDefault="008233ED" w:rsidP="008233ED">
      <w:pPr>
        <w:numPr>
          <w:ilvl w:val="0"/>
          <w:numId w:val="5"/>
        </w:numPr>
        <w:autoSpaceDE w:val="0"/>
        <w:autoSpaceDN w:val="0"/>
        <w:adjustRightInd w:val="0"/>
        <w:jc w:val="both"/>
        <w:rPr>
          <w:rFonts w:asciiTheme="minorHAnsi" w:hAnsiTheme="minorHAnsi"/>
        </w:rPr>
      </w:pPr>
      <w:r w:rsidRPr="00F41E86">
        <w:rPr>
          <w:rFonts w:asciiTheme="minorHAnsi" w:hAnsiTheme="minorHAnsi"/>
        </w:rPr>
        <w:t>Clinical Information Assurance</w:t>
      </w:r>
    </w:p>
    <w:p w14:paraId="064D1F6A" w14:textId="77777777" w:rsidR="008233ED" w:rsidRPr="00F41E86" w:rsidRDefault="008233ED" w:rsidP="008233ED">
      <w:pPr>
        <w:numPr>
          <w:ilvl w:val="0"/>
          <w:numId w:val="5"/>
        </w:numPr>
        <w:autoSpaceDE w:val="0"/>
        <w:autoSpaceDN w:val="0"/>
        <w:adjustRightInd w:val="0"/>
        <w:jc w:val="both"/>
        <w:rPr>
          <w:rFonts w:asciiTheme="minorHAnsi" w:hAnsiTheme="minorHAnsi"/>
        </w:rPr>
      </w:pPr>
      <w:r w:rsidRPr="00F41E86">
        <w:rPr>
          <w:rFonts w:asciiTheme="minorHAnsi" w:hAnsiTheme="minorHAnsi"/>
        </w:rPr>
        <w:t>Secondary Use Assurance</w:t>
      </w:r>
    </w:p>
    <w:p w14:paraId="57BAE57F" w14:textId="77777777" w:rsidR="008233ED" w:rsidRPr="00F41E86" w:rsidRDefault="008233ED" w:rsidP="008233ED">
      <w:pPr>
        <w:autoSpaceDE w:val="0"/>
        <w:autoSpaceDN w:val="0"/>
        <w:adjustRightInd w:val="0"/>
        <w:ind w:left="720" w:hanging="720"/>
        <w:jc w:val="both"/>
        <w:rPr>
          <w:rFonts w:asciiTheme="minorHAnsi" w:hAnsiTheme="minorHAnsi"/>
        </w:rPr>
      </w:pPr>
    </w:p>
    <w:p w14:paraId="3803179F" w14:textId="77777777" w:rsidR="008233ED" w:rsidRPr="00F41E86" w:rsidRDefault="008233ED" w:rsidP="008233ED">
      <w:pPr>
        <w:autoSpaceDE w:val="0"/>
        <w:autoSpaceDN w:val="0"/>
        <w:adjustRightInd w:val="0"/>
        <w:ind w:left="720" w:hanging="720"/>
        <w:jc w:val="both"/>
        <w:rPr>
          <w:rFonts w:asciiTheme="minorHAnsi" w:hAnsiTheme="minorHAnsi"/>
        </w:rPr>
      </w:pPr>
      <w:r w:rsidRPr="00F41E86">
        <w:rPr>
          <w:rFonts w:asciiTheme="minorHAnsi" w:hAnsiTheme="minorHAnsi"/>
        </w:rPr>
        <w:t xml:space="preserve">Within this definition and domains the practice will handle and protect many classes of information: </w:t>
      </w:r>
    </w:p>
    <w:p w14:paraId="69AE0A79" w14:textId="77777777" w:rsidR="008233ED" w:rsidRPr="00F41E86" w:rsidRDefault="008233ED" w:rsidP="008233ED">
      <w:pPr>
        <w:autoSpaceDE w:val="0"/>
        <w:autoSpaceDN w:val="0"/>
        <w:adjustRightInd w:val="0"/>
        <w:ind w:left="720" w:hanging="720"/>
        <w:jc w:val="both"/>
        <w:rPr>
          <w:rFonts w:asciiTheme="minorHAnsi" w:hAnsiTheme="minorHAnsi"/>
        </w:rPr>
      </w:pPr>
    </w:p>
    <w:p w14:paraId="54D4AA62" w14:textId="77777777" w:rsidR="008233ED" w:rsidRPr="00F41E86" w:rsidRDefault="008233ED" w:rsidP="008233ED">
      <w:pPr>
        <w:numPr>
          <w:ilvl w:val="0"/>
          <w:numId w:val="20"/>
        </w:numPr>
        <w:autoSpaceDE w:val="0"/>
        <w:autoSpaceDN w:val="0"/>
        <w:adjustRightInd w:val="0"/>
        <w:jc w:val="both"/>
        <w:rPr>
          <w:rFonts w:asciiTheme="minorHAnsi" w:hAnsiTheme="minorHAnsi"/>
        </w:rPr>
      </w:pPr>
      <w:r w:rsidRPr="00F41E86">
        <w:rPr>
          <w:rFonts w:asciiTheme="minorHAnsi" w:hAnsiTheme="minorHAnsi"/>
        </w:rPr>
        <w:t>Some information is confidential because it contains personal details the practice must comply with regulation which regulates the holding and sharing of confidential personal information. Changes to the way in which patient confidential data can be processed came about as a result of the Health &amp; Social Care Act 2012. It is important that relevant, timely and accurate information is available to those who are involved in the care of service users, but it is also important that personal information is not shared more widely than is necessary;</w:t>
      </w:r>
    </w:p>
    <w:p w14:paraId="7D99570D" w14:textId="77777777" w:rsidR="008233ED" w:rsidRPr="00F41E86" w:rsidRDefault="008233ED" w:rsidP="008233ED">
      <w:pPr>
        <w:numPr>
          <w:ilvl w:val="0"/>
          <w:numId w:val="20"/>
        </w:numPr>
        <w:autoSpaceDE w:val="0"/>
        <w:autoSpaceDN w:val="0"/>
        <w:adjustRightInd w:val="0"/>
        <w:jc w:val="both"/>
        <w:rPr>
          <w:rFonts w:asciiTheme="minorHAnsi" w:hAnsiTheme="minorHAnsi"/>
        </w:rPr>
      </w:pPr>
      <w:r w:rsidRPr="00F41E86">
        <w:rPr>
          <w:rFonts w:asciiTheme="minorHAnsi" w:hAnsiTheme="minorHAnsi"/>
        </w:rPr>
        <w:t>Some information is non-confidential and is for the benefit of the practice and the general public and its employees share responsibility for ensuring that this type of information is accurate, up to date and easily accessible to the public;</w:t>
      </w:r>
    </w:p>
    <w:p w14:paraId="7EAD8BAC" w14:textId="77777777" w:rsidR="008233ED" w:rsidRPr="00F41E86" w:rsidRDefault="008233ED" w:rsidP="008233ED">
      <w:pPr>
        <w:numPr>
          <w:ilvl w:val="0"/>
          <w:numId w:val="20"/>
        </w:numPr>
        <w:autoSpaceDE w:val="0"/>
        <w:autoSpaceDN w:val="0"/>
        <w:adjustRightInd w:val="0"/>
        <w:jc w:val="both"/>
        <w:rPr>
          <w:rFonts w:asciiTheme="minorHAnsi" w:hAnsiTheme="minorHAnsi"/>
        </w:rPr>
      </w:pPr>
      <w:r w:rsidRPr="00F41E86">
        <w:rPr>
          <w:rFonts w:asciiTheme="minorHAnsi" w:hAnsiTheme="minorHAnsi"/>
        </w:rPr>
        <w:t xml:space="preserve">The majority of information about the practice and its business should be open to public scrutiny although some, which is commercially sensitive, may need to be safeguarded. </w:t>
      </w:r>
    </w:p>
    <w:p w14:paraId="62D452B9" w14:textId="77777777" w:rsidR="008233ED" w:rsidRPr="00F41E86" w:rsidRDefault="008233ED" w:rsidP="008233ED">
      <w:pPr>
        <w:autoSpaceDE w:val="0"/>
        <w:autoSpaceDN w:val="0"/>
        <w:adjustRightInd w:val="0"/>
        <w:jc w:val="both"/>
        <w:rPr>
          <w:rFonts w:asciiTheme="minorHAnsi" w:hAnsiTheme="minorHAnsi"/>
        </w:rPr>
      </w:pPr>
    </w:p>
    <w:p w14:paraId="06766C2F" w14:textId="77777777" w:rsidR="008233ED" w:rsidRPr="00F41E86" w:rsidRDefault="008233ED" w:rsidP="008233ED">
      <w:pPr>
        <w:autoSpaceDE w:val="0"/>
        <w:autoSpaceDN w:val="0"/>
        <w:adjustRightInd w:val="0"/>
        <w:ind w:left="708" w:hanging="709"/>
        <w:jc w:val="both"/>
        <w:rPr>
          <w:rFonts w:asciiTheme="minorHAnsi" w:hAnsiTheme="minorHAnsi"/>
        </w:rPr>
      </w:pPr>
      <w:r w:rsidRPr="00F41E86">
        <w:rPr>
          <w:rFonts w:asciiTheme="minorHAnsi" w:hAnsiTheme="minorHAnsi"/>
        </w:rPr>
        <w:t xml:space="preserve">Information can be in many forms, including (but not limited to): </w:t>
      </w:r>
    </w:p>
    <w:p w14:paraId="08210CE9" w14:textId="77777777" w:rsidR="008233ED" w:rsidRPr="00F41E86" w:rsidRDefault="008233ED" w:rsidP="008233ED">
      <w:pPr>
        <w:autoSpaceDE w:val="0"/>
        <w:autoSpaceDN w:val="0"/>
        <w:adjustRightInd w:val="0"/>
        <w:jc w:val="both"/>
        <w:rPr>
          <w:rFonts w:asciiTheme="minorHAnsi" w:hAnsiTheme="minorHAnsi"/>
        </w:rPr>
      </w:pPr>
    </w:p>
    <w:p w14:paraId="76F90535" w14:textId="77777777" w:rsidR="008233ED" w:rsidRPr="00F41E86" w:rsidRDefault="008233ED" w:rsidP="008233ED">
      <w:pPr>
        <w:numPr>
          <w:ilvl w:val="0"/>
          <w:numId w:val="21"/>
        </w:numPr>
        <w:autoSpaceDE w:val="0"/>
        <w:autoSpaceDN w:val="0"/>
        <w:adjustRightInd w:val="0"/>
        <w:jc w:val="both"/>
        <w:rPr>
          <w:rFonts w:asciiTheme="minorHAnsi" w:hAnsiTheme="minorHAnsi"/>
        </w:rPr>
      </w:pPr>
      <w:r w:rsidRPr="00F41E86">
        <w:rPr>
          <w:rFonts w:asciiTheme="minorHAnsi" w:hAnsiTheme="minorHAnsi"/>
        </w:rPr>
        <w:t>Structured record systems – paper and electronic;</w:t>
      </w:r>
    </w:p>
    <w:p w14:paraId="4A49B5CB" w14:textId="77777777" w:rsidR="008233ED" w:rsidRPr="00F41E86" w:rsidRDefault="008233ED" w:rsidP="008233ED">
      <w:pPr>
        <w:numPr>
          <w:ilvl w:val="0"/>
          <w:numId w:val="21"/>
        </w:numPr>
        <w:autoSpaceDE w:val="0"/>
        <w:autoSpaceDN w:val="0"/>
        <w:adjustRightInd w:val="0"/>
        <w:jc w:val="both"/>
        <w:rPr>
          <w:rFonts w:asciiTheme="minorHAnsi" w:hAnsiTheme="minorHAnsi"/>
        </w:rPr>
      </w:pPr>
      <w:r w:rsidRPr="00F41E86">
        <w:rPr>
          <w:rFonts w:asciiTheme="minorHAnsi" w:hAnsiTheme="minorHAnsi"/>
        </w:rPr>
        <w:t xml:space="preserve">Transmission of information – e-mail, post and telephone; and </w:t>
      </w:r>
    </w:p>
    <w:p w14:paraId="08D00A2F" w14:textId="77777777" w:rsidR="008233ED" w:rsidRPr="001E7160" w:rsidRDefault="008233ED" w:rsidP="001E7160">
      <w:pPr>
        <w:numPr>
          <w:ilvl w:val="0"/>
          <w:numId w:val="21"/>
        </w:numPr>
        <w:autoSpaceDE w:val="0"/>
        <w:autoSpaceDN w:val="0"/>
        <w:adjustRightInd w:val="0"/>
        <w:spacing w:after="240"/>
        <w:jc w:val="both"/>
        <w:rPr>
          <w:rFonts w:asciiTheme="minorHAnsi" w:hAnsiTheme="minorHAnsi"/>
          <w:b/>
          <w:u w:val="single"/>
        </w:rPr>
      </w:pPr>
      <w:r w:rsidRPr="001E7160">
        <w:rPr>
          <w:rFonts w:asciiTheme="minorHAnsi" w:hAnsiTheme="minorHAnsi"/>
        </w:rPr>
        <w:t xml:space="preserve">All information systems purchased, developed and managed by/or on behalf of </w:t>
      </w:r>
      <w:r w:rsidR="001E7160">
        <w:rPr>
          <w:rFonts w:asciiTheme="minorHAnsi" w:hAnsiTheme="minorHAnsi"/>
        </w:rPr>
        <w:t>Southfield Way Surgery</w:t>
      </w:r>
    </w:p>
    <w:p w14:paraId="302373F5" w14:textId="77777777" w:rsidR="001E7160" w:rsidRPr="001E7160" w:rsidRDefault="001E7160" w:rsidP="001E7160">
      <w:pPr>
        <w:autoSpaceDE w:val="0"/>
        <w:autoSpaceDN w:val="0"/>
        <w:adjustRightInd w:val="0"/>
        <w:spacing w:after="240"/>
        <w:jc w:val="both"/>
        <w:rPr>
          <w:rFonts w:asciiTheme="minorHAnsi" w:hAnsiTheme="minorHAnsi"/>
          <w:b/>
          <w:u w:val="single"/>
        </w:rPr>
      </w:pPr>
    </w:p>
    <w:p w14:paraId="5B245166" w14:textId="77777777" w:rsidR="008233ED" w:rsidRPr="00F41E86" w:rsidRDefault="008233ED" w:rsidP="008233ED">
      <w:pPr>
        <w:pStyle w:val="BodyTextIndent"/>
        <w:spacing w:after="240"/>
        <w:ind w:left="0"/>
        <w:jc w:val="both"/>
        <w:rPr>
          <w:rFonts w:asciiTheme="minorHAnsi" w:hAnsiTheme="minorHAnsi" w:cs="Arial"/>
          <w:b/>
          <w:sz w:val="24"/>
          <w:szCs w:val="24"/>
          <w:u w:val="single"/>
        </w:rPr>
      </w:pPr>
      <w:r w:rsidRPr="00F41E86">
        <w:rPr>
          <w:rFonts w:asciiTheme="minorHAnsi" w:hAnsiTheme="minorHAnsi" w:cs="Arial"/>
          <w:b/>
          <w:sz w:val="24"/>
          <w:szCs w:val="24"/>
          <w:u w:val="single"/>
        </w:rPr>
        <w:lastRenderedPageBreak/>
        <w:t>Aims &amp; Objectives</w:t>
      </w:r>
    </w:p>
    <w:p w14:paraId="1B539644" w14:textId="77777777" w:rsidR="008233ED" w:rsidRPr="00F41E86" w:rsidRDefault="008233ED" w:rsidP="008233ED">
      <w:pPr>
        <w:pStyle w:val="Default"/>
        <w:jc w:val="both"/>
        <w:rPr>
          <w:rFonts w:asciiTheme="minorHAnsi" w:hAnsiTheme="minorHAnsi" w:cs="Arial"/>
        </w:rPr>
      </w:pPr>
      <w:r w:rsidRPr="00F41E86">
        <w:rPr>
          <w:rFonts w:asciiTheme="minorHAnsi" w:hAnsiTheme="minorHAnsi" w:cs="Arial"/>
        </w:rPr>
        <w:t xml:space="preserve">The IG Policy of the practice </w:t>
      </w:r>
      <w:r>
        <w:rPr>
          <w:rFonts w:asciiTheme="minorHAnsi" w:hAnsiTheme="minorHAnsi" w:cs="Arial"/>
        </w:rPr>
        <w:t>is</w:t>
      </w:r>
      <w:r w:rsidRPr="00F41E86">
        <w:rPr>
          <w:rFonts w:asciiTheme="minorHAnsi" w:hAnsiTheme="minorHAnsi" w:cs="Arial"/>
        </w:rPr>
        <w:t xml:space="preserve"> based upon a vision of a long-term delivery of clear, open aims and objectives to ensure that: </w:t>
      </w:r>
    </w:p>
    <w:p w14:paraId="70B86ADE" w14:textId="77777777" w:rsidR="008233ED" w:rsidRPr="00F41E86" w:rsidRDefault="008233ED" w:rsidP="008233ED">
      <w:pPr>
        <w:pStyle w:val="Default"/>
        <w:jc w:val="both"/>
        <w:rPr>
          <w:rFonts w:asciiTheme="minorHAnsi" w:hAnsiTheme="minorHAnsi" w:cs="Arial"/>
        </w:rPr>
      </w:pPr>
    </w:p>
    <w:p w14:paraId="6DE8C161" w14:textId="77777777" w:rsidR="008233ED" w:rsidRPr="00F41E86" w:rsidRDefault="008233ED" w:rsidP="008233ED">
      <w:pPr>
        <w:pStyle w:val="Default"/>
        <w:numPr>
          <w:ilvl w:val="0"/>
          <w:numId w:val="6"/>
        </w:numPr>
        <w:jc w:val="both"/>
        <w:rPr>
          <w:rFonts w:asciiTheme="minorHAnsi" w:hAnsiTheme="minorHAnsi" w:cs="Arial"/>
        </w:rPr>
      </w:pPr>
      <w:r w:rsidRPr="00F41E86">
        <w:rPr>
          <w:rFonts w:asciiTheme="minorHAnsi" w:hAnsiTheme="minorHAnsi" w:cs="Arial"/>
        </w:rPr>
        <w:t>The practice complies with all statutory requirements;</w:t>
      </w:r>
    </w:p>
    <w:p w14:paraId="154F9476" w14:textId="77777777" w:rsidR="008233ED" w:rsidRPr="00F41E86" w:rsidRDefault="008233ED" w:rsidP="008233ED">
      <w:pPr>
        <w:pStyle w:val="Default"/>
        <w:numPr>
          <w:ilvl w:val="0"/>
          <w:numId w:val="6"/>
        </w:numPr>
        <w:jc w:val="both"/>
        <w:rPr>
          <w:rFonts w:asciiTheme="minorHAnsi" w:hAnsiTheme="minorHAnsi" w:cs="Arial"/>
        </w:rPr>
      </w:pPr>
      <w:r w:rsidRPr="00F41E86">
        <w:rPr>
          <w:rFonts w:asciiTheme="minorHAnsi" w:hAnsiTheme="minorHAnsi" w:cs="Arial"/>
        </w:rPr>
        <w:t>The practice has an information governance policy that supports the achievement of corporate objectives;</w:t>
      </w:r>
    </w:p>
    <w:p w14:paraId="28FF2DD6" w14:textId="77777777" w:rsidR="008233ED" w:rsidRPr="00F41E86" w:rsidRDefault="008233ED" w:rsidP="008233ED">
      <w:pPr>
        <w:pStyle w:val="Default"/>
        <w:numPr>
          <w:ilvl w:val="0"/>
          <w:numId w:val="6"/>
        </w:numPr>
        <w:jc w:val="both"/>
        <w:rPr>
          <w:rFonts w:asciiTheme="minorHAnsi" w:hAnsiTheme="minorHAnsi" w:cs="Arial"/>
        </w:rPr>
      </w:pPr>
      <w:r w:rsidRPr="00F41E86">
        <w:rPr>
          <w:rFonts w:asciiTheme="minorHAnsi" w:hAnsiTheme="minorHAnsi" w:cs="Arial"/>
        </w:rPr>
        <w:t>The practice can demonstrate an effective framework for managing information governance assurance;</w:t>
      </w:r>
    </w:p>
    <w:p w14:paraId="608E42B5" w14:textId="77777777" w:rsidR="008233ED" w:rsidRPr="00F41E86" w:rsidRDefault="008233ED" w:rsidP="008233ED">
      <w:pPr>
        <w:pStyle w:val="Default"/>
        <w:numPr>
          <w:ilvl w:val="0"/>
          <w:numId w:val="6"/>
        </w:numPr>
        <w:jc w:val="both"/>
        <w:rPr>
          <w:rFonts w:asciiTheme="minorHAnsi" w:hAnsiTheme="minorHAnsi" w:cs="Arial"/>
        </w:rPr>
      </w:pPr>
      <w:r w:rsidRPr="00F41E86">
        <w:rPr>
          <w:rFonts w:asciiTheme="minorHAnsi" w:hAnsiTheme="minorHAnsi" w:cs="Arial"/>
        </w:rPr>
        <w:t>Staff are aware of their responsibilities and the importance of information governance;</w:t>
      </w:r>
    </w:p>
    <w:p w14:paraId="4CA1FD09" w14:textId="77777777" w:rsidR="008233ED" w:rsidRPr="00F41E86" w:rsidRDefault="008233ED" w:rsidP="008233ED">
      <w:pPr>
        <w:pStyle w:val="Default"/>
        <w:numPr>
          <w:ilvl w:val="0"/>
          <w:numId w:val="6"/>
        </w:numPr>
        <w:jc w:val="both"/>
        <w:rPr>
          <w:rFonts w:asciiTheme="minorHAnsi" w:hAnsiTheme="minorHAnsi" w:cs="Arial"/>
        </w:rPr>
      </w:pPr>
      <w:r w:rsidRPr="00F41E86">
        <w:rPr>
          <w:rFonts w:asciiTheme="minorHAnsi" w:hAnsiTheme="minorHAnsi" w:cs="Arial"/>
        </w:rPr>
        <w:t xml:space="preserve">Information governance becomes a systematic, efficient and effective part of business as usual for </w:t>
      </w:r>
      <w:r>
        <w:rPr>
          <w:rFonts w:asciiTheme="minorHAnsi" w:hAnsiTheme="minorHAnsi" w:cs="Arial"/>
        </w:rPr>
        <w:t>the</w:t>
      </w:r>
      <w:r w:rsidRPr="00F41E86">
        <w:rPr>
          <w:rFonts w:asciiTheme="minorHAnsi" w:hAnsiTheme="minorHAnsi" w:cs="Arial"/>
        </w:rPr>
        <w:t xml:space="preserve"> Practice;</w:t>
      </w:r>
    </w:p>
    <w:p w14:paraId="7D750F98" w14:textId="77777777" w:rsidR="008233ED" w:rsidRPr="00F41E86" w:rsidRDefault="008233ED" w:rsidP="008233ED">
      <w:pPr>
        <w:pStyle w:val="Default"/>
        <w:numPr>
          <w:ilvl w:val="0"/>
          <w:numId w:val="6"/>
        </w:numPr>
        <w:jc w:val="both"/>
        <w:rPr>
          <w:rFonts w:asciiTheme="minorHAnsi" w:hAnsiTheme="minorHAnsi" w:cs="Arial"/>
        </w:rPr>
      </w:pPr>
      <w:r w:rsidRPr="00F41E86">
        <w:rPr>
          <w:rFonts w:asciiTheme="minorHAnsi" w:hAnsiTheme="minorHAnsi" w:cs="Arial"/>
        </w:rPr>
        <w:t>Information governance is integrated into the change control process;</w:t>
      </w:r>
    </w:p>
    <w:p w14:paraId="0EE42572" w14:textId="77777777" w:rsidR="008233ED" w:rsidRPr="00F41E86" w:rsidRDefault="008233ED" w:rsidP="008233ED">
      <w:pPr>
        <w:pStyle w:val="Default"/>
        <w:numPr>
          <w:ilvl w:val="0"/>
          <w:numId w:val="6"/>
        </w:numPr>
        <w:jc w:val="both"/>
        <w:rPr>
          <w:rFonts w:asciiTheme="minorHAnsi" w:hAnsiTheme="minorHAnsi" w:cs="Arial"/>
        </w:rPr>
      </w:pPr>
      <w:r w:rsidRPr="00F41E86">
        <w:rPr>
          <w:rFonts w:asciiTheme="minorHAnsi" w:hAnsiTheme="minorHAnsi" w:cs="Arial"/>
        </w:rPr>
        <w:t>There are effective methods for seeking assurance across the organisation;</w:t>
      </w:r>
    </w:p>
    <w:p w14:paraId="617D3731" w14:textId="77777777" w:rsidR="008233ED" w:rsidRPr="00F41E86" w:rsidRDefault="008233ED" w:rsidP="008233ED">
      <w:pPr>
        <w:pStyle w:val="Default"/>
        <w:numPr>
          <w:ilvl w:val="0"/>
          <w:numId w:val="6"/>
        </w:numPr>
        <w:jc w:val="both"/>
        <w:rPr>
          <w:rFonts w:asciiTheme="minorHAnsi" w:hAnsiTheme="minorHAnsi" w:cs="Arial"/>
        </w:rPr>
      </w:pPr>
      <w:r w:rsidRPr="008233ED">
        <w:rPr>
          <w:rFonts w:asciiTheme="minorHAnsi" w:hAnsiTheme="minorHAnsi" w:cs="Arial"/>
        </w:rPr>
        <w:t xml:space="preserve">Southfield Way Surgery </w:t>
      </w:r>
      <w:r w:rsidRPr="00F41E86">
        <w:rPr>
          <w:rFonts w:asciiTheme="minorHAnsi" w:hAnsiTheme="minorHAnsi" w:cs="Arial"/>
        </w:rPr>
        <w:t>can demonstrate that the information governance arrangements of organisations it commissions services from across healthcare and commissioning support are adequate;</w:t>
      </w:r>
    </w:p>
    <w:p w14:paraId="1BBB3629" w14:textId="77777777" w:rsidR="008233ED" w:rsidRPr="00F41E86" w:rsidRDefault="008233ED" w:rsidP="008233ED">
      <w:pPr>
        <w:pStyle w:val="Default"/>
        <w:numPr>
          <w:ilvl w:val="0"/>
          <w:numId w:val="6"/>
        </w:numPr>
        <w:jc w:val="both"/>
        <w:rPr>
          <w:rFonts w:asciiTheme="minorHAnsi" w:hAnsiTheme="minorHAnsi" w:cs="Arial"/>
        </w:rPr>
      </w:pPr>
      <w:r w:rsidRPr="00F41E86">
        <w:rPr>
          <w:rFonts w:asciiTheme="minorHAnsi" w:hAnsiTheme="minorHAnsi" w:cs="Arial"/>
        </w:rPr>
        <w:t>The policy is able to respond to any change required by external bodies and any challenges emerging from changes to the information governance landscape.</w:t>
      </w:r>
    </w:p>
    <w:p w14:paraId="781970D3" w14:textId="77777777" w:rsidR="008233ED" w:rsidRPr="00F41E86" w:rsidRDefault="008233ED" w:rsidP="008233ED">
      <w:pPr>
        <w:pStyle w:val="Default"/>
        <w:ind w:left="720"/>
        <w:jc w:val="both"/>
        <w:rPr>
          <w:rFonts w:asciiTheme="minorHAnsi" w:hAnsiTheme="minorHAnsi" w:cs="Arial"/>
        </w:rPr>
      </w:pPr>
    </w:p>
    <w:p w14:paraId="030A35C2" w14:textId="77777777" w:rsidR="008233ED" w:rsidRPr="00F41E86" w:rsidRDefault="008233ED" w:rsidP="008233ED">
      <w:pPr>
        <w:autoSpaceDE w:val="0"/>
        <w:autoSpaceDN w:val="0"/>
        <w:adjustRightInd w:val="0"/>
        <w:jc w:val="both"/>
        <w:rPr>
          <w:rFonts w:asciiTheme="minorHAnsi" w:hAnsiTheme="minorHAnsi"/>
        </w:rPr>
      </w:pPr>
      <w:r w:rsidRPr="00F41E86">
        <w:rPr>
          <w:rFonts w:asciiTheme="minorHAnsi" w:hAnsiTheme="minorHAnsi"/>
        </w:rPr>
        <w:t xml:space="preserve">An outline of the high-level IG organisational objectives that the practice seeks to achieve is as follows: </w:t>
      </w:r>
    </w:p>
    <w:p w14:paraId="39BD048E" w14:textId="77777777" w:rsidR="008233ED" w:rsidRPr="00F41E86" w:rsidRDefault="008233ED" w:rsidP="008233ED">
      <w:pPr>
        <w:autoSpaceDE w:val="0"/>
        <w:autoSpaceDN w:val="0"/>
        <w:adjustRightInd w:val="0"/>
        <w:rPr>
          <w:rFonts w:asciiTheme="minorHAnsi" w:hAnsiTheme="minorHAnsi"/>
        </w:rPr>
      </w:pPr>
    </w:p>
    <w:p w14:paraId="23649475" w14:textId="77777777" w:rsidR="008233ED" w:rsidRPr="00F41E86" w:rsidRDefault="008233ED" w:rsidP="008233ED">
      <w:pPr>
        <w:numPr>
          <w:ilvl w:val="0"/>
          <w:numId w:val="7"/>
        </w:numPr>
        <w:autoSpaceDE w:val="0"/>
        <w:autoSpaceDN w:val="0"/>
        <w:adjustRightInd w:val="0"/>
        <w:spacing w:after="269"/>
        <w:jc w:val="both"/>
        <w:rPr>
          <w:rFonts w:asciiTheme="minorHAnsi" w:hAnsiTheme="minorHAnsi"/>
        </w:rPr>
      </w:pPr>
      <w:r w:rsidRPr="00F41E86">
        <w:rPr>
          <w:rFonts w:asciiTheme="minorHAnsi" w:hAnsiTheme="minorHAnsi"/>
        </w:rPr>
        <w:t xml:space="preserve">Comply with the relevant information privacy and confidentiality laws and regulations as well as contractual requirements and internal policies on information and systems security and protection, and provide transparency on the level of compliance via the DS &amp;P Toolkit; </w:t>
      </w:r>
    </w:p>
    <w:p w14:paraId="64A000F4" w14:textId="77777777" w:rsidR="008233ED" w:rsidRPr="00F41E86" w:rsidRDefault="008233ED" w:rsidP="008233ED">
      <w:pPr>
        <w:numPr>
          <w:ilvl w:val="0"/>
          <w:numId w:val="7"/>
        </w:numPr>
        <w:autoSpaceDE w:val="0"/>
        <w:autoSpaceDN w:val="0"/>
        <w:adjustRightInd w:val="0"/>
        <w:spacing w:after="269"/>
        <w:jc w:val="both"/>
        <w:rPr>
          <w:rFonts w:asciiTheme="minorHAnsi" w:hAnsiTheme="minorHAnsi"/>
        </w:rPr>
      </w:pPr>
      <w:r w:rsidRPr="00F41E86">
        <w:rPr>
          <w:rFonts w:asciiTheme="minorHAnsi" w:hAnsiTheme="minorHAnsi"/>
        </w:rPr>
        <w:t xml:space="preserve">Maintain information risk at acceptable levels and protect information against unauthorised disclosure, unauthorised or inadvertent modifications, and possible intrusions; </w:t>
      </w:r>
    </w:p>
    <w:p w14:paraId="6951702C" w14:textId="77777777" w:rsidR="008233ED" w:rsidRPr="00F41E86" w:rsidRDefault="008233ED" w:rsidP="008233ED">
      <w:pPr>
        <w:numPr>
          <w:ilvl w:val="0"/>
          <w:numId w:val="7"/>
        </w:numPr>
        <w:autoSpaceDE w:val="0"/>
        <w:autoSpaceDN w:val="0"/>
        <w:adjustRightInd w:val="0"/>
        <w:spacing w:after="269"/>
        <w:jc w:val="both"/>
        <w:rPr>
          <w:rFonts w:asciiTheme="minorHAnsi" w:hAnsiTheme="minorHAnsi"/>
        </w:rPr>
      </w:pPr>
      <w:r w:rsidRPr="00F41E86">
        <w:rPr>
          <w:rFonts w:asciiTheme="minorHAnsi" w:hAnsiTheme="minorHAnsi"/>
        </w:rPr>
        <w:t xml:space="preserve">Address the increasing potential for civil or legal liability impacting the organisation as a result of information breaches through efficient and effective risk management, process improvement and rapid incident management; </w:t>
      </w:r>
    </w:p>
    <w:p w14:paraId="74493886" w14:textId="77777777" w:rsidR="008233ED" w:rsidRPr="00F41E86" w:rsidRDefault="008233ED" w:rsidP="008233ED">
      <w:pPr>
        <w:numPr>
          <w:ilvl w:val="0"/>
          <w:numId w:val="7"/>
        </w:numPr>
        <w:autoSpaceDE w:val="0"/>
        <w:autoSpaceDN w:val="0"/>
        <w:adjustRightInd w:val="0"/>
        <w:spacing w:after="269"/>
        <w:jc w:val="both"/>
        <w:rPr>
          <w:rFonts w:asciiTheme="minorHAnsi" w:hAnsiTheme="minorHAnsi"/>
        </w:rPr>
      </w:pPr>
      <w:r w:rsidRPr="00F41E86">
        <w:rPr>
          <w:rFonts w:asciiTheme="minorHAnsi" w:hAnsiTheme="minorHAnsi"/>
        </w:rPr>
        <w:t>Provide confidence in interactions with key external organisations – for example, Acute &amp; Community Providers, customers, NHS England, NHS Digital, Monitors, Commissioners and the CQC.</w:t>
      </w:r>
    </w:p>
    <w:p w14:paraId="380A6624" w14:textId="77777777" w:rsidR="008233ED" w:rsidRPr="00F41E86" w:rsidRDefault="008233ED" w:rsidP="008233ED">
      <w:pPr>
        <w:numPr>
          <w:ilvl w:val="0"/>
          <w:numId w:val="7"/>
        </w:numPr>
        <w:autoSpaceDE w:val="0"/>
        <w:autoSpaceDN w:val="0"/>
        <w:adjustRightInd w:val="0"/>
        <w:spacing w:after="269"/>
        <w:jc w:val="both"/>
        <w:rPr>
          <w:rFonts w:asciiTheme="minorHAnsi" w:hAnsiTheme="minorHAnsi"/>
        </w:rPr>
      </w:pPr>
      <w:r w:rsidRPr="00F41E86">
        <w:rPr>
          <w:rFonts w:asciiTheme="minorHAnsi" w:hAnsiTheme="minorHAnsi"/>
        </w:rPr>
        <w:t xml:space="preserve">Create, maintain and continuously improve trust from customers and the public; </w:t>
      </w:r>
    </w:p>
    <w:p w14:paraId="01FD377E" w14:textId="77777777" w:rsidR="008233ED" w:rsidRPr="00F41E86" w:rsidRDefault="008233ED" w:rsidP="008233ED">
      <w:pPr>
        <w:numPr>
          <w:ilvl w:val="0"/>
          <w:numId w:val="7"/>
        </w:numPr>
        <w:autoSpaceDE w:val="0"/>
        <w:autoSpaceDN w:val="0"/>
        <w:adjustRightInd w:val="0"/>
        <w:spacing w:after="269"/>
        <w:jc w:val="both"/>
        <w:rPr>
          <w:rFonts w:asciiTheme="minorHAnsi" w:hAnsiTheme="minorHAnsi"/>
        </w:rPr>
      </w:pPr>
      <w:r w:rsidRPr="00F41E86">
        <w:rPr>
          <w:rFonts w:asciiTheme="minorHAnsi" w:hAnsiTheme="minorHAnsi"/>
        </w:rPr>
        <w:t xml:space="preserve">Provide accountability for safeguarding patient and other critical information; and </w:t>
      </w:r>
    </w:p>
    <w:p w14:paraId="6A468A07" w14:textId="77777777" w:rsidR="008233ED" w:rsidRPr="00F41E86" w:rsidRDefault="008233ED" w:rsidP="008233ED">
      <w:pPr>
        <w:numPr>
          <w:ilvl w:val="0"/>
          <w:numId w:val="7"/>
        </w:numPr>
        <w:autoSpaceDE w:val="0"/>
        <w:autoSpaceDN w:val="0"/>
        <w:adjustRightInd w:val="0"/>
        <w:jc w:val="both"/>
        <w:rPr>
          <w:rFonts w:asciiTheme="minorHAnsi" w:hAnsiTheme="minorHAnsi"/>
        </w:rPr>
      </w:pPr>
      <w:r w:rsidRPr="00F41E86">
        <w:rPr>
          <w:rFonts w:asciiTheme="minorHAnsi" w:hAnsiTheme="minorHAnsi"/>
        </w:rPr>
        <w:t xml:space="preserve">Protect the organisation’s reputation. </w:t>
      </w:r>
    </w:p>
    <w:p w14:paraId="2F2A23A9" w14:textId="77777777" w:rsidR="008233ED" w:rsidRDefault="008233ED" w:rsidP="008233ED">
      <w:pPr>
        <w:autoSpaceDE w:val="0"/>
        <w:autoSpaceDN w:val="0"/>
        <w:adjustRightInd w:val="0"/>
        <w:jc w:val="both"/>
        <w:rPr>
          <w:rFonts w:asciiTheme="minorHAnsi" w:hAnsiTheme="minorHAnsi"/>
        </w:rPr>
      </w:pPr>
    </w:p>
    <w:p w14:paraId="7EA6D133" w14:textId="77777777" w:rsidR="008233ED" w:rsidRPr="00F41E86" w:rsidRDefault="008233ED" w:rsidP="008233ED">
      <w:pPr>
        <w:autoSpaceDE w:val="0"/>
        <w:autoSpaceDN w:val="0"/>
        <w:adjustRightInd w:val="0"/>
        <w:jc w:val="both"/>
        <w:rPr>
          <w:rFonts w:asciiTheme="minorHAnsi" w:hAnsiTheme="minorHAnsi"/>
        </w:rPr>
      </w:pPr>
      <w:r w:rsidRPr="00F41E86">
        <w:rPr>
          <w:rFonts w:asciiTheme="minorHAnsi" w:hAnsiTheme="minorHAnsi"/>
        </w:rPr>
        <w:t xml:space="preserve">These aims, and objectives will be achieved by ensuring the effective management of Information Governance by: </w:t>
      </w:r>
    </w:p>
    <w:p w14:paraId="60B48451" w14:textId="77777777" w:rsidR="008233ED" w:rsidRPr="00F41E86" w:rsidRDefault="008233ED" w:rsidP="008233ED">
      <w:pPr>
        <w:autoSpaceDE w:val="0"/>
        <w:autoSpaceDN w:val="0"/>
        <w:adjustRightInd w:val="0"/>
        <w:ind w:left="720" w:hanging="720"/>
        <w:jc w:val="both"/>
        <w:rPr>
          <w:rFonts w:asciiTheme="minorHAnsi" w:hAnsiTheme="minorHAnsi"/>
        </w:rPr>
      </w:pPr>
    </w:p>
    <w:p w14:paraId="0844FBC2" w14:textId="77777777" w:rsidR="008233ED" w:rsidRPr="00F41E86" w:rsidRDefault="008233ED" w:rsidP="008233ED">
      <w:pPr>
        <w:numPr>
          <w:ilvl w:val="0"/>
          <w:numId w:val="7"/>
        </w:numPr>
        <w:autoSpaceDE w:val="0"/>
        <w:autoSpaceDN w:val="0"/>
        <w:adjustRightInd w:val="0"/>
        <w:jc w:val="both"/>
        <w:rPr>
          <w:rFonts w:asciiTheme="minorHAnsi" w:hAnsiTheme="minorHAnsi"/>
        </w:rPr>
      </w:pPr>
      <w:r w:rsidRPr="00F41E86">
        <w:rPr>
          <w:rFonts w:asciiTheme="minorHAnsi" w:hAnsiTheme="minorHAnsi"/>
        </w:rPr>
        <w:t>Ensuring that the practice meets its obligations under the Data Protection legislation, the Human Rights Act 1998, the Freedom of Information Act 2000 and the Health and Social Care Act 2012;</w:t>
      </w:r>
    </w:p>
    <w:p w14:paraId="597AFD45" w14:textId="77777777" w:rsidR="008233ED" w:rsidRPr="00F41E86" w:rsidRDefault="008233ED" w:rsidP="008233ED">
      <w:pPr>
        <w:numPr>
          <w:ilvl w:val="0"/>
          <w:numId w:val="7"/>
        </w:numPr>
        <w:autoSpaceDE w:val="0"/>
        <w:autoSpaceDN w:val="0"/>
        <w:adjustRightInd w:val="0"/>
        <w:jc w:val="both"/>
        <w:rPr>
          <w:rFonts w:asciiTheme="minorHAnsi" w:hAnsiTheme="minorHAnsi"/>
        </w:rPr>
      </w:pPr>
      <w:r w:rsidRPr="00F41E86">
        <w:rPr>
          <w:rFonts w:asciiTheme="minorHAnsi" w:hAnsiTheme="minorHAnsi"/>
        </w:rPr>
        <w:lastRenderedPageBreak/>
        <w:t>Establishing, implementing and maintaining policies for the effective management of information;</w:t>
      </w:r>
    </w:p>
    <w:p w14:paraId="5E5317F5" w14:textId="77777777" w:rsidR="008233ED" w:rsidRPr="00F41E86" w:rsidRDefault="008233ED" w:rsidP="008233ED">
      <w:pPr>
        <w:numPr>
          <w:ilvl w:val="0"/>
          <w:numId w:val="7"/>
        </w:numPr>
        <w:autoSpaceDE w:val="0"/>
        <w:autoSpaceDN w:val="0"/>
        <w:adjustRightInd w:val="0"/>
        <w:jc w:val="both"/>
        <w:rPr>
          <w:rFonts w:asciiTheme="minorHAnsi" w:hAnsiTheme="minorHAnsi"/>
        </w:rPr>
      </w:pPr>
      <w:r w:rsidRPr="00F41E86">
        <w:rPr>
          <w:rFonts w:asciiTheme="minorHAnsi" w:hAnsiTheme="minorHAnsi"/>
        </w:rPr>
        <w:t xml:space="preserve">Ensuring that information governance is a cohesive element of the internal control systems within </w:t>
      </w:r>
      <w:r>
        <w:rPr>
          <w:rFonts w:asciiTheme="minorHAnsi" w:hAnsiTheme="minorHAnsi"/>
        </w:rPr>
        <w:t>the practice</w:t>
      </w:r>
      <w:r w:rsidRPr="00F41E86">
        <w:rPr>
          <w:rFonts w:asciiTheme="minorHAnsi" w:hAnsiTheme="minorHAnsi"/>
        </w:rPr>
        <w:t>;</w:t>
      </w:r>
    </w:p>
    <w:p w14:paraId="34CAEE51" w14:textId="77777777" w:rsidR="008233ED" w:rsidRPr="00F41E86" w:rsidRDefault="008233ED" w:rsidP="008233ED">
      <w:pPr>
        <w:numPr>
          <w:ilvl w:val="0"/>
          <w:numId w:val="7"/>
        </w:numPr>
        <w:autoSpaceDE w:val="0"/>
        <w:autoSpaceDN w:val="0"/>
        <w:adjustRightInd w:val="0"/>
        <w:jc w:val="both"/>
        <w:rPr>
          <w:rFonts w:asciiTheme="minorHAnsi" w:hAnsiTheme="minorHAnsi"/>
        </w:rPr>
      </w:pPr>
      <w:r w:rsidRPr="00F41E86">
        <w:rPr>
          <w:rFonts w:asciiTheme="minorHAnsi" w:hAnsiTheme="minorHAnsi"/>
        </w:rPr>
        <w:t>Recognising the need for an appropriate balance between openness and confidentiality in the management of information;</w:t>
      </w:r>
    </w:p>
    <w:p w14:paraId="68256ADF" w14:textId="77777777" w:rsidR="008233ED" w:rsidRPr="00F41E86" w:rsidRDefault="008233ED" w:rsidP="008233ED">
      <w:pPr>
        <w:numPr>
          <w:ilvl w:val="0"/>
          <w:numId w:val="7"/>
        </w:numPr>
        <w:autoSpaceDE w:val="0"/>
        <w:autoSpaceDN w:val="0"/>
        <w:adjustRightInd w:val="0"/>
        <w:jc w:val="both"/>
        <w:rPr>
          <w:rFonts w:asciiTheme="minorHAnsi" w:hAnsiTheme="minorHAnsi"/>
        </w:rPr>
      </w:pPr>
      <w:r w:rsidRPr="00F41E86">
        <w:rPr>
          <w:rFonts w:asciiTheme="minorHAnsi" w:hAnsiTheme="minorHAnsi"/>
        </w:rPr>
        <w:t>Ensuring that information governance is an integral part of the practice culture and its operating systems;</w:t>
      </w:r>
    </w:p>
    <w:p w14:paraId="7E81D7DB" w14:textId="77777777" w:rsidR="008233ED" w:rsidRPr="00F41E86" w:rsidRDefault="008233ED" w:rsidP="008233ED">
      <w:pPr>
        <w:numPr>
          <w:ilvl w:val="0"/>
          <w:numId w:val="7"/>
        </w:numPr>
        <w:autoSpaceDE w:val="0"/>
        <w:autoSpaceDN w:val="0"/>
        <w:adjustRightInd w:val="0"/>
        <w:jc w:val="both"/>
        <w:rPr>
          <w:rFonts w:asciiTheme="minorHAnsi" w:hAnsiTheme="minorHAnsi"/>
        </w:rPr>
      </w:pPr>
      <w:r w:rsidRPr="00F41E86">
        <w:rPr>
          <w:rFonts w:asciiTheme="minorHAnsi" w:hAnsiTheme="minorHAnsi"/>
        </w:rPr>
        <w:t xml:space="preserve">Ensuring maintenance of year on year improvement within the </w:t>
      </w:r>
      <w:r>
        <w:rPr>
          <w:rFonts w:asciiTheme="minorHAnsi" w:hAnsiTheme="minorHAnsi"/>
        </w:rPr>
        <w:t>DSP</w:t>
      </w:r>
      <w:r w:rsidRPr="00F41E86">
        <w:rPr>
          <w:rFonts w:asciiTheme="minorHAnsi" w:hAnsiTheme="minorHAnsi"/>
        </w:rPr>
        <w:t xml:space="preserve"> Toolkit submission;</w:t>
      </w:r>
    </w:p>
    <w:p w14:paraId="5642ED82" w14:textId="77777777" w:rsidR="008233ED" w:rsidRPr="00F41E86" w:rsidRDefault="008233ED" w:rsidP="008233ED">
      <w:pPr>
        <w:numPr>
          <w:ilvl w:val="0"/>
          <w:numId w:val="7"/>
        </w:numPr>
        <w:autoSpaceDE w:val="0"/>
        <w:autoSpaceDN w:val="0"/>
        <w:adjustRightInd w:val="0"/>
        <w:jc w:val="both"/>
        <w:rPr>
          <w:rFonts w:asciiTheme="minorHAnsi" w:hAnsiTheme="minorHAnsi"/>
        </w:rPr>
      </w:pPr>
      <w:r w:rsidRPr="00F41E86">
        <w:rPr>
          <w:rFonts w:asciiTheme="minorHAnsi" w:hAnsiTheme="minorHAnsi"/>
        </w:rPr>
        <w:t>Reducing duplication and looking at new ways of working effectively and efficiently;</w:t>
      </w:r>
    </w:p>
    <w:p w14:paraId="609E854B" w14:textId="77777777" w:rsidR="008233ED" w:rsidRPr="00F41E86" w:rsidRDefault="008233ED" w:rsidP="008233ED">
      <w:pPr>
        <w:numPr>
          <w:ilvl w:val="0"/>
          <w:numId w:val="7"/>
        </w:numPr>
        <w:autoSpaceDE w:val="0"/>
        <w:autoSpaceDN w:val="0"/>
        <w:adjustRightInd w:val="0"/>
        <w:jc w:val="both"/>
        <w:rPr>
          <w:rFonts w:asciiTheme="minorHAnsi" w:hAnsiTheme="minorHAnsi"/>
        </w:rPr>
      </w:pPr>
      <w:r w:rsidRPr="00F41E86">
        <w:rPr>
          <w:rFonts w:asciiTheme="minorHAnsi" w:hAnsiTheme="minorHAnsi"/>
        </w:rPr>
        <w:t>Minimising the risk of breaches of personal data;</w:t>
      </w:r>
    </w:p>
    <w:p w14:paraId="3C6C6BC2" w14:textId="77777777" w:rsidR="008233ED" w:rsidRPr="00F41E86" w:rsidRDefault="008233ED" w:rsidP="008233ED">
      <w:pPr>
        <w:numPr>
          <w:ilvl w:val="0"/>
          <w:numId w:val="7"/>
        </w:numPr>
        <w:autoSpaceDE w:val="0"/>
        <w:autoSpaceDN w:val="0"/>
        <w:adjustRightInd w:val="0"/>
        <w:jc w:val="both"/>
        <w:rPr>
          <w:rFonts w:asciiTheme="minorHAnsi" w:hAnsiTheme="minorHAnsi"/>
        </w:rPr>
      </w:pPr>
      <w:r w:rsidRPr="00F41E86">
        <w:rPr>
          <w:rFonts w:asciiTheme="minorHAnsi" w:hAnsiTheme="minorHAnsi"/>
        </w:rPr>
        <w:t>Minimising inappropriate uses of personal data;</w:t>
      </w:r>
    </w:p>
    <w:p w14:paraId="266EBF54" w14:textId="77777777" w:rsidR="008233ED" w:rsidRPr="00F41E86" w:rsidRDefault="008233ED" w:rsidP="008233ED">
      <w:pPr>
        <w:numPr>
          <w:ilvl w:val="0"/>
          <w:numId w:val="7"/>
        </w:numPr>
        <w:autoSpaceDE w:val="0"/>
        <w:autoSpaceDN w:val="0"/>
        <w:adjustRightInd w:val="0"/>
        <w:jc w:val="both"/>
        <w:rPr>
          <w:rFonts w:asciiTheme="minorHAnsi" w:hAnsiTheme="minorHAnsi"/>
        </w:rPr>
      </w:pPr>
      <w:r w:rsidRPr="00F41E86">
        <w:rPr>
          <w:rFonts w:asciiTheme="minorHAnsi" w:hAnsiTheme="minorHAnsi"/>
        </w:rPr>
        <w:t>Ensuring that Service Level Agreements between the practice and other organisations are managed and developed in accordance with Information Governance Principles;</w:t>
      </w:r>
    </w:p>
    <w:p w14:paraId="01AEC8CB" w14:textId="77777777" w:rsidR="008233ED" w:rsidRPr="00F41E86" w:rsidRDefault="008233ED" w:rsidP="008233ED">
      <w:pPr>
        <w:numPr>
          <w:ilvl w:val="0"/>
          <w:numId w:val="7"/>
        </w:numPr>
        <w:autoSpaceDE w:val="0"/>
        <w:autoSpaceDN w:val="0"/>
        <w:adjustRightInd w:val="0"/>
        <w:jc w:val="both"/>
        <w:rPr>
          <w:rFonts w:asciiTheme="minorHAnsi" w:hAnsiTheme="minorHAnsi"/>
        </w:rPr>
      </w:pPr>
      <w:r w:rsidRPr="00F41E86">
        <w:rPr>
          <w:rFonts w:asciiTheme="minorHAnsi" w:hAnsiTheme="minorHAnsi"/>
        </w:rPr>
        <w:t>Ensuring that contracted bodies are monitored against Information Governance standards;</w:t>
      </w:r>
    </w:p>
    <w:p w14:paraId="2959CDF8" w14:textId="77777777" w:rsidR="008233ED" w:rsidRPr="00F41E86" w:rsidRDefault="008233ED" w:rsidP="008233ED">
      <w:pPr>
        <w:numPr>
          <w:ilvl w:val="0"/>
          <w:numId w:val="7"/>
        </w:numPr>
        <w:autoSpaceDE w:val="0"/>
        <w:autoSpaceDN w:val="0"/>
        <w:adjustRightInd w:val="0"/>
        <w:jc w:val="both"/>
        <w:rPr>
          <w:rFonts w:asciiTheme="minorHAnsi" w:hAnsiTheme="minorHAnsi"/>
        </w:rPr>
      </w:pPr>
      <w:r w:rsidRPr="00F41E86">
        <w:rPr>
          <w:rFonts w:asciiTheme="minorHAnsi" w:hAnsiTheme="minorHAnsi"/>
        </w:rPr>
        <w:t>Protecting the services, staff, reputation and finances of the practice through the process of early identification of information risks and where these risks are identified ensuring sufficient risk assessment, risk control and elimination are undertaken;</w:t>
      </w:r>
    </w:p>
    <w:p w14:paraId="753F5BBD" w14:textId="77777777" w:rsidR="008233ED" w:rsidRPr="00F41E86" w:rsidRDefault="008233ED" w:rsidP="008233ED">
      <w:pPr>
        <w:numPr>
          <w:ilvl w:val="0"/>
          <w:numId w:val="7"/>
        </w:numPr>
        <w:autoSpaceDE w:val="0"/>
        <w:autoSpaceDN w:val="0"/>
        <w:adjustRightInd w:val="0"/>
        <w:jc w:val="both"/>
        <w:rPr>
          <w:rFonts w:asciiTheme="minorHAnsi" w:hAnsiTheme="minorHAnsi"/>
        </w:rPr>
      </w:pPr>
      <w:r w:rsidRPr="00F41E86">
        <w:rPr>
          <w:rFonts w:asciiTheme="minorHAnsi" w:hAnsiTheme="minorHAnsi"/>
        </w:rPr>
        <w:t>Ensuring there is provision of sufficient training, instruction, supervision and information to enable all employees to operate within information governance requirements, including those undertaking specialist roles;</w:t>
      </w:r>
    </w:p>
    <w:p w14:paraId="1AAF5ECB" w14:textId="77777777" w:rsidR="008233ED" w:rsidRPr="00F41E86" w:rsidRDefault="008233ED" w:rsidP="008233ED">
      <w:pPr>
        <w:numPr>
          <w:ilvl w:val="0"/>
          <w:numId w:val="7"/>
        </w:numPr>
        <w:autoSpaceDE w:val="0"/>
        <w:autoSpaceDN w:val="0"/>
        <w:adjustRightInd w:val="0"/>
        <w:jc w:val="both"/>
        <w:rPr>
          <w:rFonts w:asciiTheme="minorHAnsi" w:hAnsiTheme="minorHAnsi"/>
        </w:rPr>
      </w:pPr>
      <w:r w:rsidRPr="00F41E86">
        <w:rPr>
          <w:rFonts w:asciiTheme="minorHAnsi" w:hAnsiTheme="minorHAnsi"/>
        </w:rPr>
        <w:t>Ensuring the information governance policy and related plans link to and support other corporate or strategic objectives, e.g. business continuity planning, and ensuring the practice is able to meet its commitments under the Civil Contingencies Act 2004 (specifically the Emergency Preparedness, Resilience &amp; Response assurance process).</w:t>
      </w:r>
    </w:p>
    <w:p w14:paraId="54D45269" w14:textId="77777777" w:rsidR="001E7160" w:rsidRDefault="001E7160" w:rsidP="008233ED">
      <w:pPr>
        <w:pStyle w:val="BodyTextIndent"/>
        <w:spacing w:after="240"/>
        <w:ind w:left="0"/>
        <w:jc w:val="both"/>
        <w:rPr>
          <w:rFonts w:asciiTheme="minorHAnsi" w:hAnsiTheme="minorHAnsi" w:cs="Arial"/>
          <w:b/>
          <w:sz w:val="24"/>
          <w:szCs w:val="24"/>
          <w:u w:val="single"/>
        </w:rPr>
      </w:pPr>
    </w:p>
    <w:p w14:paraId="706A569D" w14:textId="77777777" w:rsidR="008233ED" w:rsidRPr="00F41E86" w:rsidRDefault="008233ED" w:rsidP="008233ED">
      <w:pPr>
        <w:pStyle w:val="BodyTextIndent"/>
        <w:spacing w:after="240"/>
        <w:ind w:left="0"/>
        <w:jc w:val="both"/>
        <w:rPr>
          <w:rFonts w:asciiTheme="minorHAnsi" w:hAnsiTheme="minorHAnsi" w:cs="Arial"/>
          <w:b/>
          <w:sz w:val="24"/>
          <w:szCs w:val="24"/>
          <w:u w:val="single"/>
        </w:rPr>
      </w:pPr>
      <w:r w:rsidRPr="00F41E86">
        <w:rPr>
          <w:rFonts w:asciiTheme="minorHAnsi" w:hAnsiTheme="minorHAnsi" w:cs="Arial"/>
          <w:b/>
          <w:sz w:val="24"/>
          <w:szCs w:val="24"/>
          <w:u w:val="single"/>
        </w:rPr>
        <w:t>Roles and Responsibilities</w:t>
      </w:r>
    </w:p>
    <w:p w14:paraId="3A89C863" w14:textId="77777777" w:rsidR="008233ED" w:rsidRPr="00F41E86" w:rsidRDefault="008233ED" w:rsidP="008233ED">
      <w:pPr>
        <w:pStyle w:val="BodyTextIndent"/>
        <w:spacing w:after="240"/>
        <w:ind w:left="0"/>
        <w:jc w:val="both"/>
        <w:rPr>
          <w:rFonts w:asciiTheme="minorHAnsi" w:hAnsiTheme="minorHAnsi" w:cs="Arial"/>
          <w:sz w:val="24"/>
          <w:szCs w:val="24"/>
          <w:u w:val="single"/>
        </w:rPr>
      </w:pPr>
      <w:r w:rsidRPr="00F41E86">
        <w:rPr>
          <w:rFonts w:asciiTheme="minorHAnsi" w:hAnsiTheme="minorHAnsi" w:cs="Arial"/>
          <w:sz w:val="24"/>
          <w:szCs w:val="24"/>
          <w:u w:val="single"/>
        </w:rPr>
        <w:t>Senior Information Risk Owner (SIRO)</w:t>
      </w:r>
    </w:p>
    <w:p w14:paraId="52D94179" w14:textId="77777777" w:rsidR="008233ED" w:rsidRPr="00F41E86" w:rsidRDefault="008233ED" w:rsidP="008233ED">
      <w:pPr>
        <w:pStyle w:val="BodyTextIndent"/>
        <w:spacing w:after="240"/>
        <w:ind w:left="0"/>
        <w:jc w:val="both"/>
        <w:rPr>
          <w:rFonts w:asciiTheme="minorHAnsi" w:hAnsiTheme="minorHAnsi" w:cs="Arial"/>
          <w:sz w:val="24"/>
          <w:szCs w:val="24"/>
        </w:rPr>
      </w:pPr>
      <w:r w:rsidRPr="00F41E86">
        <w:rPr>
          <w:rFonts w:asciiTheme="minorHAnsi" w:hAnsiTheme="minorHAnsi" w:cs="Arial"/>
          <w:sz w:val="24"/>
          <w:szCs w:val="24"/>
        </w:rPr>
        <w:t xml:space="preserve">The SIRO for </w:t>
      </w:r>
      <w:r w:rsidR="001E7160" w:rsidRPr="001E7160">
        <w:rPr>
          <w:rFonts w:asciiTheme="minorHAnsi" w:hAnsiTheme="minorHAnsi" w:cs="Arial"/>
          <w:sz w:val="24"/>
          <w:szCs w:val="24"/>
        </w:rPr>
        <w:t xml:space="preserve">Southfield Way Surgery </w:t>
      </w:r>
      <w:r>
        <w:rPr>
          <w:rFonts w:asciiTheme="minorHAnsi" w:hAnsiTheme="minorHAnsi" w:cs="Arial"/>
          <w:sz w:val="24"/>
          <w:szCs w:val="24"/>
        </w:rPr>
        <w:t xml:space="preserve">is </w:t>
      </w:r>
      <w:r w:rsidR="001E7160">
        <w:rPr>
          <w:rFonts w:asciiTheme="minorHAnsi" w:hAnsiTheme="minorHAnsi" w:cs="Arial"/>
          <w:sz w:val="24"/>
          <w:szCs w:val="24"/>
        </w:rPr>
        <w:t>Kiran Dubb</w:t>
      </w:r>
      <w:r>
        <w:rPr>
          <w:rFonts w:asciiTheme="minorHAnsi" w:hAnsiTheme="minorHAnsi" w:cs="Arial"/>
          <w:sz w:val="24"/>
          <w:szCs w:val="24"/>
        </w:rPr>
        <w:t xml:space="preserve"> who</w:t>
      </w:r>
      <w:r w:rsidRPr="00F41E86">
        <w:rPr>
          <w:rFonts w:asciiTheme="minorHAnsi" w:hAnsiTheme="minorHAnsi" w:cs="Arial"/>
          <w:sz w:val="24"/>
          <w:szCs w:val="24"/>
        </w:rPr>
        <w:t xml:space="preserve"> holds responsibility for ensuring that information is processed and held securely throughout </w:t>
      </w:r>
      <w:r w:rsidR="001E7160" w:rsidRPr="001E7160">
        <w:rPr>
          <w:rFonts w:asciiTheme="minorHAnsi" w:hAnsiTheme="minorHAnsi" w:cs="Arial"/>
          <w:sz w:val="24"/>
          <w:szCs w:val="24"/>
        </w:rPr>
        <w:t xml:space="preserve">Southfield Way Surgery </w:t>
      </w:r>
      <w:r w:rsidRPr="00F41E86">
        <w:rPr>
          <w:rFonts w:asciiTheme="minorHAnsi" w:hAnsiTheme="minorHAnsi" w:cs="Arial"/>
          <w:sz w:val="24"/>
          <w:szCs w:val="24"/>
        </w:rPr>
        <w:t>The role covers all the aspects of information risk, the confidentiality of patient and service user information and information sharing.  The Information Governance Toolkit sets out clear responsibilities of the SIRO in relation to risks surrounding information and information systems, which also extend to business continuity and the role of Information Asset Owners.</w:t>
      </w:r>
    </w:p>
    <w:p w14:paraId="73B1B20B" w14:textId="77777777" w:rsidR="008233ED" w:rsidRPr="00F41E86" w:rsidRDefault="008233ED" w:rsidP="008233ED">
      <w:pPr>
        <w:pStyle w:val="Default"/>
        <w:jc w:val="both"/>
        <w:rPr>
          <w:rFonts w:asciiTheme="minorHAnsi" w:hAnsiTheme="minorHAnsi" w:cs="Arial"/>
        </w:rPr>
      </w:pPr>
    </w:p>
    <w:p w14:paraId="03085034" w14:textId="77777777" w:rsidR="008233ED" w:rsidRPr="00F41E86" w:rsidRDefault="008233ED" w:rsidP="008233ED">
      <w:pPr>
        <w:pStyle w:val="BodyTextIndent"/>
        <w:spacing w:after="240"/>
        <w:ind w:left="0"/>
        <w:jc w:val="both"/>
        <w:rPr>
          <w:rFonts w:asciiTheme="minorHAnsi" w:hAnsiTheme="minorHAnsi" w:cs="Arial"/>
          <w:sz w:val="24"/>
          <w:szCs w:val="24"/>
        </w:rPr>
      </w:pPr>
      <w:r w:rsidRPr="00F41E86">
        <w:rPr>
          <w:rFonts w:asciiTheme="minorHAnsi" w:hAnsiTheme="minorHAnsi" w:cs="Arial"/>
          <w:sz w:val="24"/>
          <w:szCs w:val="24"/>
        </w:rPr>
        <w:t>In particular, the SIRO is responsible for:</w:t>
      </w:r>
    </w:p>
    <w:p w14:paraId="70F98645" w14:textId="77777777" w:rsidR="001E7160" w:rsidRDefault="008233ED" w:rsidP="008233ED">
      <w:pPr>
        <w:pStyle w:val="BodyTextIndent"/>
        <w:numPr>
          <w:ilvl w:val="0"/>
          <w:numId w:val="22"/>
        </w:numPr>
        <w:spacing w:after="240"/>
        <w:jc w:val="both"/>
        <w:rPr>
          <w:rFonts w:asciiTheme="minorHAnsi" w:hAnsiTheme="minorHAnsi" w:cs="Arial"/>
          <w:sz w:val="24"/>
          <w:szCs w:val="24"/>
        </w:rPr>
      </w:pPr>
      <w:r w:rsidRPr="00F41E86">
        <w:rPr>
          <w:rFonts w:asciiTheme="minorHAnsi" w:hAnsiTheme="minorHAnsi" w:cs="Arial"/>
          <w:sz w:val="24"/>
          <w:szCs w:val="24"/>
        </w:rPr>
        <w:t>leading and fostering a culture that values, protects and uses information for the success of the practice and benefit of its service users;</w:t>
      </w:r>
    </w:p>
    <w:p w14:paraId="2FA10BCB" w14:textId="77777777" w:rsidR="008233ED" w:rsidRPr="00F41E86" w:rsidRDefault="001E7160" w:rsidP="008233ED">
      <w:pPr>
        <w:pStyle w:val="BodyTextIndent"/>
        <w:numPr>
          <w:ilvl w:val="0"/>
          <w:numId w:val="22"/>
        </w:numPr>
        <w:spacing w:after="240"/>
        <w:jc w:val="both"/>
        <w:rPr>
          <w:rFonts w:asciiTheme="minorHAnsi" w:hAnsiTheme="minorHAnsi" w:cs="Arial"/>
          <w:sz w:val="24"/>
          <w:szCs w:val="24"/>
        </w:rPr>
      </w:pPr>
      <w:r w:rsidRPr="00F41E86">
        <w:rPr>
          <w:rFonts w:asciiTheme="minorHAnsi" w:hAnsiTheme="minorHAnsi" w:cs="Arial"/>
          <w:sz w:val="24"/>
          <w:szCs w:val="24"/>
        </w:rPr>
        <w:t xml:space="preserve"> </w:t>
      </w:r>
      <w:r w:rsidR="008233ED" w:rsidRPr="00F41E86">
        <w:rPr>
          <w:rFonts w:asciiTheme="minorHAnsi" w:hAnsiTheme="minorHAnsi" w:cs="Arial"/>
          <w:sz w:val="24"/>
          <w:szCs w:val="24"/>
        </w:rPr>
        <w:t xml:space="preserve">owning the </w:t>
      </w:r>
      <w:r w:rsidR="008233ED">
        <w:rPr>
          <w:rFonts w:asciiTheme="minorHAnsi" w:hAnsiTheme="minorHAnsi" w:cs="Arial"/>
          <w:sz w:val="24"/>
          <w:szCs w:val="24"/>
        </w:rPr>
        <w:t>practice</w:t>
      </w:r>
      <w:r w:rsidR="008233ED" w:rsidRPr="00F41E86">
        <w:rPr>
          <w:rFonts w:asciiTheme="minorHAnsi" w:hAnsiTheme="minorHAnsi" w:cs="Arial"/>
          <w:sz w:val="24"/>
          <w:szCs w:val="24"/>
        </w:rPr>
        <w:t>’s overall information risk policy and risk assessment processes and ensuring they are implemented consistently by Information Asset Owners (IAO’s);</w:t>
      </w:r>
    </w:p>
    <w:p w14:paraId="504E2590" w14:textId="77777777" w:rsidR="008233ED" w:rsidRPr="00F41E86" w:rsidRDefault="008233ED" w:rsidP="008233ED">
      <w:pPr>
        <w:pStyle w:val="BodyTextIndent"/>
        <w:numPr>
          <w:ilvl w:val="0"/>
          <w:numId w:val="22"/>
        </w:numPr>
        <w:spacing w:after="240"/>
        <w:jc w:val="both"/>
        <w:rPr>
          <w:rFonts w:asciiTheme="minorHAnsi" w:hAnsiTheme="minorHAnsi" w:cs="Arial"/>
          <w:sz w:val="24"/>
          <w:szCs w:val="24"/>
        </w:rPr>
      </w:pPr>
      <w:r w:rsidRPr="00F41E86">
        <w:rPr>
          <w:rFonts w:asciiTheme="minorHAnsi" w:hAnsiTheme="minorHAnsi" w:cs="Arial"/>
          <w:sz w:val="24"/>
          <w:szCs w:val="24"/>
        </w:rPr>
        <w:t>take ownership of information risk assessment processes, including the review of the annual information risk assessment and agree actions in respect of any risks identified;</w:t>
      </w:r>
    </w:p>
    <w:p w14:paraId="6103F5B4" w14:textId="77777777" w:rsidR="008233ED" w:rsidRPr="00F41E86" w:rsidRDefault="008233ED" w:rsidP="008233ED">
      <w:pPr>
        <w:numPr>
          <w:ilvl w:val="0"/>
          <w:numId w:val="8"/>
        </w:numPr>
        <w:autoSpaceDE w:val="0"/>
        <w:autoSpaceDN w:val="0"/>
        <w:adjustRightInd w:val="0"/>
        <w:jc w:val="both"/>
        <w:rPr>
          <w:rFonts w:asciiTheme="minorHAnsi" w:hAnsiTheme="minorHAnsi"/>
        </w:rPr>
      </w:pPr>
      <w:r w:rsidRPr="00F41E86">
        <w:rPr>
          <w:rFonts w:asciiTheme="minorHAnsi" w:hAnsiTheme="minorHAnsi"/>
        </w:rPr>
        <w:t xml:space="preserve">ensure that </w:t>
      </w:r>
      <w:r>
        <w:rPr>
          <w:rFonts w:asciiTheme="minorHAnsi" w:hAnsiTheme="minorHAnsi"/>
        </w:rPr>
        <w:t>the practice</w:t>
      </w:r>
      <w:r w:rsidRPr="00F41E86">
        <w:rPr>
          <w:rFonts w:asciiTheme="minorHAnsi" w:hAnsiTheme="minorHAnsi"/>
        </w:rPr>
        <w:t>’s approach to information risk is effective in terms of resources, commitment and execution and that this is communicated to all staff;</w:t>
      </w:r>
    </w:p>
    <w:p w14:paraId="6FF5E5E9" w14:textId="77777777" w:rsidR="008233ED" w:rsidRPr="00F41E86" w:rsidRDefault="008233ED" w:rsidP="008233ED">
      <w:pPr>
        <w:pStyle w:val="ListParagraph"/>
        <w:jc w:val="both"/>
        <w:rPr>
          <w:rFonts w:asciiTheme="minorHAnsi" w:hAnsiTheme="minorHAnsi" w:cs="Arial"/>
          <w:sz w:val="24"/>
          <w:szCs w:val="24"/>
        </w:rPr>
      </w:pPr>
    </w:p>
    <w:p w14:paraId="47820E96" w14:textId="77777777" w:rsidR="008233ED" w:rsidRPr="00F41E86" w:rsidRDefault="008233ED" w:rsidP="008233ED">
      <w:pPr>
        <w:numPr>
          <w:ilvl w:val="0"/>
          <w:numId w:val="8"/>
        </w:numPr>
        <w:autoSpaceDE w:val="0"/>
        <w:autoSpaceDN w:val="0"/>
        <w:adjustRightInd w:val="0"/>
        <w:jc w:val="both"/>
        <w:rPr>
          <w:rFonts w:asciiTheme="minorHAnsi" w:hAnsiTheme="minorHAnsi"/>
        </w:rPr>
      </w:pPr>
      <w:r w:rsidRPr="00F41E86">
        <w:rPr>
          <w:rFonts w:asciiTheme="minorHAnsi" w:hAnsiTheme="minorHAnsi"/>
        </w:rPr>
        <w:lastRenderedPageBreak/>
        <w:t>Ensure Information Asset Owners (IAOs) undertake risk assessments of their assets;</w:t>
      </w:r>
    </w:p>
    <w:p w14:paraId="63765C8B" w14:textId="77777777" w:rsidR="008233ED" w:rsidRPr="00F41E86" w:rsidRDefault="008233ED" w:rsidP="008233ED">
      <w:pPr>
        <w:pStyle w:val="ListParagraph"/>
        <w:jc w:val="both"/>
        <w:rPr>
          <w:rFonts w:asciiTheme="minorHAnsi" w:hAnsiTheme="minorHAnsi" w:cs="Arial"/>
          <w:sz w:val="24"/>
          <w:szCs w:val="24"/>
        </w:rPr>
      </w:pPr>
    </w:p>
    <w:p w14:paraId="4EC92859" w14:textId="77777777" w:rsidR="008233ED" w:rsidRPr="00F41E86" w:rsidRDefault="008233ED" w:rsidP="008233ED">
      <w:pPr>
        <w:numPr>
          <w:ilvl w:val="0"/>
          <w:numId w:val="8"/>
        </w:numPr>
        <w:autoSpaceDE w:val="0"/>
        <w:autoSpaceDN w:val="0"/>
        <w:adjustRightInd w:val="0"/>
        <w:jc w:val="both"/>
        <w:rPr>
          <w:rFonts w:asciiTheme="minorHAnsi" w:hAnsiTheme="minorHAnsi"/>
        </w:rPr>
      </w:pPr>
      <w:r w:rsidRPr="00F41E86">
        <w:rPr>
          <w:rFonts w:asciiTheme="minorHAnsi" w:hAnsiTheme="minorHAnsi"/>
        </w:rPr>
        <w:t>Be responsible for the Incident Management process ensuring identified information security risks are addressed and any lessons learnt are implemented;</w:t>
      </w:r>
    </w:p>
    <w:p w14:paraId="161DAEBC" w14:textId="77777777" w:rsidR="008233ED" w:rsidRPr="00F41E86" w:rsidRDefault="008233ED" w:rsidP="008233ED">
      <w:pPr>
        <w:pStyle w:val="ListParagraph"/>
        <w:jc w:val="both"/>
        <w:rPr>
          <w:rFonts w:asciiTheme="minorHAnsi" w:hAnsiTheme="minorHAnsi" w:cs="Arial"/>
          <w:sz w:val="24"/>
          <w:szCs w:val="24"/>
        </w:rPr>
      </w:pPr>
    </w:p>
    <w:p w14:paraId="0BC511F4" w14:textId="77777777" w:rsidR="008233ED" w:rsidRDefault="008233ED" w:rsidP="008233ED">
      <w:pPr>
        <w:numPr>
          <w:ilvl w:val="0"/>
          <w:numId w:val="8"/>
        </w:numPr>
        <w:autoSpaceDE w:val="0"/>
        <w:autoSpaceDN w:val="0"/>
        <w:adjustRightInd w:val="0"/>
        <w:jc w:val="both"/>
        <w:rPr>
          <w:rFonts w:asciiTheme="minorHAnsi" w:hAnsiTheme="minorHAnsi"/>
        </w:rPr>
      </w:pPr>
      <w:r w:rsidRPr="00F41E86">
        <w:rPr>
          <w:rFonts w:asciiTheme="minorHAnsi" w:hAnsiTheme="minorHAnsi"/>
        </w:rPr>
        <w:t>Provide a focal point for the management, resolution and/or discussion of information risk issues;</w:t>
      </w:r>
    </w:p>
    <w:p w14:paraId="224E8533" w14:textId="77777777" w:rsidR="001E7160" w:rsidRPr="00F41E86" w:rsidRDefault="001E7160" w:rsidP="001E7160">
      <w:pPr>
        <w:autoSpaceDE w:val="0"/>
        <w:autoSpaceDN w:val="0"/>
        <w:adjustRightInd w:val="0"/>
        <w:jc w:val="both"/>
        <w:rPr>
          <w:rFonts w:asciiTheme="minorHAnsi" w:hAnsiTheme="minorHAnsi"/>
        </w:rPr>
      </w:pPr>
    </w:p>
    <w:tbl>
      <w:tblPr>
        <w:tblW w:w="10740" w:type="dxa"/>
        <w:tblBorders>
          <w:top w:val="nil"/>
          <w:left w:val="nil"/>
          <w:bottom w:val="nil"/>
          <w:right w:val="nil"/>
        </w:tblBorders>
        <w:tblLayout w:type="fixed"/>
        <w:tblLook w:val="0000" w:firstRow="0" w:lastRow="0" w:firstColumn="0" w:lastColumn="0" w:noHBand="0" w:noVBand="0"/>
      </w:tblPr>
      <w:tblGrid>
        <w:gridCol w:w="10740"/>
      </w:tblGrid>
      <w:tr w:rsidR="008233ED" w:rsidRPr="00F41E86" w14:paraId="25860957" w14:textId="77777777" w:rsidTr="00AC7120">
        <w:trPr>
          <w:trHeight w:val="2566"/>
        </w:trPr>
        <w:tc>
          <w:tcPr>
            <w:tcW w:w="10740" w:type="dxa"/>
          </w:tcPr>
          <w:p w14:paraId="3958BAE9" w14:textId="77777777" w:rsidR="008233ED" w:rsidRPr="00F41E86" w:rsidRDefault="008233ED" w:rsidP="008233ED">
            <w:pPr>
              <w:numPr>
                <w:ilvl w:val="0"/>
                <w:numId w:val="8"/>
              </w:numPr>
              <w:autoSpaceDE w:val="0"/>
              <w:autoSpaceDN w:val="0"/>
              <w:adjustRightInd w:val="0"/>
              <w:rPr>
                <w:rFonts w:asciiTheme="minorHAnsi" w:hAnsiTheme="minorHAnsi"/>
              </w:rPr>
            </w:pPr>
            <w:r w:rsidRPr="00F41E86">
              <w:rPr>
                <w:rFonts w:asciiTheme="minorHAnsi" w:hAnsiTheme="minorHAnsi"/>
              </w:rPr>
              <w:t xml:space="preserve">Ensure that the </w:t>
            </w:r>
            <w:r>
              <w:rPr>
                <w:rFonts w:asciiTheme="minorHAnsi" w:hAnsiTheme="minorHAnsi"/>
              </w:rPr>
              <w:t>practice’</w:t>
            </w:r>
            <w:r w:rsidRPr="00F41E86">
              <w:rPr>
                <w:rFonts w:asciiTheme="minorHAnsi" w:hAnsiTheme="minorHAnsi"/>
              </w:rPr>
              <w:t>s approach to information risk is effective in its deployment in terms of resource, commitment and execution and that this is communicated to all staff;</w:t>
            </w:r>
          </w:p>
          <w:p w14:paraId="1C075E21" w14:textId="77777777" w:rsidR="008233ED" w:rsidRPr="00F41E86" w:rsidRDefault="008233ED" w:rsidP="00AC7120">
            <w:pPr>
              <w:autoSpaceDE w:val="0"/>
              <w:autoSpaceDN w:val="0"/>
              <w:adjustRightInd w:val="0"/>
              <w:ind w:left="720"/>
              <w:rPr>
                <w:rFonts w:asciiTheme="minorHAnsi" w:hAnsiTheme="minorHAnsi"/>
              </w:rPr>
            </w:pPr>
          </w:p>
          <w:p w14:paraId="61B2D787" w14:textId="77777777" w:rsidR="008233ED" w:rsidRPr="00F41E86" w:rsidRDefault="008233ED" w:rsidP="008233ED">
            <w:pPr>
              <w:numPr>
                <w:ilvl w:val="0"/>
                <w:numId w:val="8"/>
              </w:numPr>
              <w:autoSpaceDE w:val="0"/>
              <w:autoSpaceDN w:val="0"/>
              <w:adjustRightInd w:val="0"/>
              <w:rPr>
                <w:rFonts w:asciiTheme="minorHAnsi" w:hAnsiTheme="minorHAnsi"/>
              </w:rPr>
            </w:pPr>
            <w:r w:rsidRPr="00F41E86">
              <w:rPr>
                <w:rFonts w:asciiTheme="minorHAnsi" w:hAnsiTheme="minorHAnsi"/>
              </w:rPr>
              <w:t>Ensure the organisation is adequately briefed on information risk issues</w:t>
            </w:r>
          </w:p>
          <w:p w14:paraId="25033115" w14:textId="77777777" w:rsidR="001E7160" w:rsidRDefault="001E7160" w:rsidP="00AC7120">
            <w:pPr>
              <w:tabs>
                <w:tab w:val="left" w:pos="1005"/>
              </w:tabs>
              <w:rPr>
                <w:rFonts w:asciiTheme="minorHAnsi" w:hAnsiTheme="minorHAnsi"/>
                <w:u w:val="single"/>
              </w:rPr>
            </w:pPr>
          </w:p>
          <w:p w14:paraId="067EC0B5" w14:textId="77777777" w:rsidR="001E7160" w:rsidRPr="00F41E86" w:rsidRDefault="001E7160" w:rsidP="001E7160">
            <w:pPr>
              <w:pStyle w:val="BodyTextIndent"/>
              <w:spacing w:after="240"/>
              <w:ind w:left="0"/>
              <w:jc w:val="both"/>
              <w:rPr>
                <w:rFonts w:asciiTheme="minorHAnsi" w:hAnsiTheme="minorHAnsi" w:cs="Arial"/>
                <w:sz w:val="24"/>
                <w:szCs w:val="24"/>
                <w:u w:val="single"/>
              </w:rPr>
            </w:pPr>
            <w:r w:rsidRPr="00F41E86">
              <w:rPr>
                <w:rFonts w:asciiTheme="minorHAnsi" w:hAnsiTheme="minorHAnsi" w:cs="Arial"/>
                <w:sz w:val="24"/>
                <w:szCs w:val="24"/>
                <w:u w:val="single"/>
              </w:rPr>
              <w:t>Caldicott Guardian</w:t>
            </w:r>
          </w:p>
          <w:p w14:paraId="47B39D92" w14:textId="77777777" w:rsidR="001E7160" w:rsidRPr="00F41E86" w:rsidRDefault="001E7160" w:rsidP="001E7160">
            <w:pPr>
              <w:pStyle w:val="BodyTextIndent"/>
              <w:spacing w:after="240"/>
              <w:ind w:left="0"/>
              <w:jc w:val="both"/>
              <w:rPr>
                <w:rFonts w:asciiTheme="minorHAnsi" w:hAnsiTheme="minorHAnsi" w:cs="Arial"/>
                <w:sz w:val="24"/>
                <w:szCs w:val="24"/>
              </w:rPr>
            </w:pPr>
            <w:r w:rsidRPr="00F41E86">
              <w:rPr>
                <w:rFonts w:asciiTheme="minorHAnsi" w:hAnsiTheme="minorHAnsi" w:cs="Arial"/>
                <w:sz w:val="24"/>
                <w:szCs w:val="24"/>
              </w:rPr>
              <w:t>The Caldicott Guardian</w:t>
            </w:r>
            <w:r>
              <w:rPr>
                <w:rFonts w:asciiTheme="minorHAnsi" w:hAnsiTheme="minorHAnsi" w:cs="Arial"/>
                <w:sz w:val="24"/>
                <w:szCs w:val="24"/>
              </w:rPr>
              <w:t xml:space="preserve"> is Dr P Dubb and</w:t>
            </w:r>
            <w:r w:rsidRPr="00F41E86">
              <w:rPr>
                <w:rFonts w:asciiTheme="minorHAnsi" w:hAnsiTheme="minorHAnsi" w:cs="Arial"/>
                <w:sz w:val="24"/>
                <w:szCs w:val="24"/>
              </w:rPr>
              <w:t xml:space="preserve"> is responsible for acting as a champion for data confidentiality.  They should ensure that confidentiality issues are appropriately reflected in practice policies and working procedures for staff and oversee all arrangements, protocols and procedures where confidential information may be shared with external bodies including disclosures to other public sector agencies and other outside interests.</w:t>
            </w:r>
          </w:p>
          <w:p w14:paraId="50B0BE42" w14:textId="77777777" w:rsidR="001E7160" w:rsidRPr="00F41E86" w:rsidRDefault="001E7160" w:rsidP="001E7160">
            <w:pPr>
              <w:autoSpaceDE w:val="0"/>
              <w:autoSpaceDN w:val="0"/>
              <w:adjustRightInd w:val="0"/>
              <w:jc w:val="both"/>
              <w:rPr>
                <w:rFonts w:asciiTheme="minorHAnsi" w:hAnsiTheme="minorHAnsi"/>
              </w:rPr>
            </w:pPr>
            <w:r w:rsidRPr="00F41E86">
              <w:rPr>
                <w:rFonts w:asciiTheme="minorHAnsi" w:hAnsiTheme="minorHAnsi"/>
              </w:rPr>
              <w:t>The Caldicott Guardian is responsible for:</w:t>
            </w:r>
          </w:p>
          <w:p w14:paraId="277FCA1D" w14:textId="77777777" w:rsidR="001E7160" w:rsidRPr="00F41E86" w:rsidRDefault="001E7160" w:rsidP="001E7160">
            <w:pPr>
              <w:autoSpaceDE w:val="0"/>
              <w:autoSpaceDN w:val="0"/>
              <w:adjustRightInd w:val="0"/>
              <w:jc w:val="both"/>
              <w:rPr>
                <w:rFonts w:asciiTheme="minorHAnsi" w:hAnsiTheme="minorHAnsi"/>
              </w:rPr>
            </w:pPr>
          </w:p>
          <w:p w14:paraId="6C796FBB" w14:textId="77777777" w:rsidR="001E7160" w:rsidRPr="00F41E86" w:rsidRDefault="001E7160" w:rsidP="001E7160">
            <w:pPr>
              <w:numPr>
                <w:ilvl w:val="0"/>
                <w:numId w:val="9"/>
              </w:numPr>
              <w:autoSpaceDE w:val="0"/>
              <w:autoSpaceDN w:val="0"/>
              <w:adjustRightInd w:val="0"/>
              <w:jc w:val="both"/>
              <w:rPr>
                <w:rFonts w:asciiTheme="minorHAnsi" w:hAnsiTheme="minorHAnsi"/>
              </w:rPr>
            </w:pPr>
            <w:r w:rsidRPr="00F41E86">
              <w:rPr>
                <w:rFonts w:asciiTheme="minorHAnsi" w:hAnsiTheme="minorHAnsi"/>
              </w:rPr>
              <w:t>ensuring that the practice satisfies the highest practical standards for handling patient information;</w:t>
            </w:r>
          </w:p>
          <w:p w14:paraId="09C057CA" w14:textId="77777777" w:rsidR="001E7160" w:rsidRPr="00F41E86" w:rsidRDefault="001E7160" w:rsidP="001E7160">
            <w:pPr>
              <w:numPr>
                <w:ilvl w:val="0"/>
                <w:numId w:val="9"/>
              </w:numPr>
              <w:autoSpaceDE w:val="0"/>
              <w:autoSpaceDN w:val="0"/>
              <w:adjustRightInd w:val="0"/>
              <w:jc w:val="both"/>
              <w:rPr>
                <w:rFonts w:asciiTheme="minorHAnsi" w:hAnsiTheme="minorHAnsi"/>
              </w:rPr>
            </w:pPr>
            <w:r w:rsidRPr="00F41E86">
              <w:rPr>
                <w:rFonts w:asciiTheme="minorHAnsi" w:hAnsiTheme="minorHAnsi"/>
              </w:rPr>
              <w:t xml:space="preserve">ensuring confidentiality is reflected appropriately in </w:t>
            </w:r>
            <w:r>
              <w:rPr>
                <w:rFonts w:asciiTheme="minorHAnsi" w:hAnsiTheme="minorHAnsi"/>
              </w:rPr>
              <w:t>the practice’</w:t>
            </w:r>
            <w:r w:rsidRPr="00F41E86">
              <w:rPr>
                <w:rFonts w:asciiTheme="minorHAnsi" w:hAnsiTheme="minorHAnsi"/>
              </w:rPr>
              <w:t>s policies and procedures to support the lawful and ethical processing of information;</w:t>
            </w:r>
          </w:p>
          <w:p w14:paraId="32F4A7CA" w14:textId="77777777" w:rsidR="001E7160" w:rsidRPr="00F41E86" w:rsidRDefault="001E7160" w:rsidP="001E7160">
            <w:pPr>
              <w:numPr>
                <w:ilvl w:val="0"/>
                <w:numId w:val="9"/>
              </w:numPr>
              <w:autoSpaceDE w:val="0"/>
              <w:autoSpaceDN w:val="0"/>
              <w:adjustRightInd w:val="0"/>
              <w:jc w:val="both"/>
              <w:rPr>
                <w:rFonts w:asciiTheme="minorHAnsi" w:hAnsiTheme="minorHAnsi"/>
              </w:rPr>
            </w:pPr>
            <w:r w:rsidRPr="00F41E86">
              <w:rPr>
                <w:rFonts w:asciiTheme="minorHAnsi" w:hAnsiTheme="minorHAnsi"/>
              </w:rPr>
              <w:t xml:space="preserve">acting as the ‘conscience’ of </w:t>
            </w:r>
            <w:r>
              <w:rPr>
                <w:rFonts w:asciiTheme="minorHAnsi" w:hAnsiTheme="minorHAnsi"/>
              </w:rPr>
              <w:t>the practice</w:t>
            </w:r>
            <w:r w:rsidRPr="00F41E86">
              <w:rPr>
                <w:rFonts w:asciiTheme="minorHAnsi" w:hAnsiTheme="minorHAnsi"/>
              </w:rPr>
              <w:t>;</w:t>
            </w:r>
          </w:p>
          <w:p w14:paraId="6ED5CE31" w14:textId="77777777" w:rsidR="001E7160" w:rsidRPr="00F41E86" w:rsidRDefault="001E7160" w:rsidP="001E7160">
            <w:pPr>
              <w:numPr>
                <w:ilvl w:val="0"/>
                <w:numId w:val="9"/>
              </w:numPr>
              <w:autoSpaceDE w:val="0"/>
              <w:autoSpaceDN w:val="0"/>
              <w:adjustRightInd w:val="0"/>
              <w:jc w:val="both"/>
              <w:rPr>
                <w:rFonts w:asciiTheme="minorHAnsi" w:hAnsiTheme="minorHAnsi"/>
              </w:rPr>
            </w:pPr>
            <w:r w:rsidRPr="00F41E86">
              <w:rPr>
                <w:rFonts w:asciiTheme="minorHAnsi" w:hAnsiTheme="minorHAnsi"/>
              </w:rPr>
              <w:t>ensuring that staff comply with Caldicott Principles and the guidance contained in the NHS Confidentiality Code of Practice;</w:t>
            </w:r>
          </w:p>
          <w:p w14:paraId="1B541787" w14:textId="77777777" w:rsidR="001E7160" w:rsidRPr="00F41E86" w:rsidRDefault="001E7160" w:rsidP="001E7160">
            <w:pPr>
              <w:numPr>
                <w:ilvl w:val="0"/>
                <w:numId w:val="9"/>
              </w:numPr>
              <w:autoSpaceDE w:val="0"/>
              <w:autoSpaceDN w:val="0"/>
              <w:adjustRightInd w:val="0"/>
              <w:jc w:val="both"/>
              <w:rPr>
                <w:rFonts w:asciiTheme="minorHAnsi" w:hAnsiTheme="minorHAnsi"/>
              </w:rPr>
            </w:pPr>
            <w:r w:rsidRPr="00F41E86">
              <w:rPr>
                <w:rFonts w:asciiTheme="minorHAnsi" w:hAnsiTheme="minorHAnsi"/>
              </w:rPr>
              <w:t>Facilitating, enabling and overseeing information sharing agreements and arrangements put in place to share personal confidential data with external bodies.</w:t>
            </w:r>
          </w:p>
          <w:p w14:paraId="041754E9" w14:textId="77777777" w:rsidR="001E7160" w:rsidRPr="00F41E86" w:rsidRDefault="001E7160" w:rsidP="001E7160">
            <w:pPr>
              <w:autoSpaceDE w:val="0"/>
              <w:autoSpaceDN w:val="0"/>
              <w:adjustRightInd w:val="0"/>
              <w:jc w:val="both"/>
              <w:rPr>
                <w:rFonts w:asciiTheme="minorHAnsi" w:hAnsiTheme="minorHAnsi"/>
              </w:rPr>
            </w:pPr>
          </w:p>
          <w:p w14:paraId="0E213156" w14:textId="77777777" w:rsidR="001E7160" w:rsidRPr="00F41E86" w:rsidRDefault="001E7160" w:rsidP="001E7160">
            <w:pPr>
              <w:pStyle w:val="BodyTextIndent"/>
              <w:spacing w:after="240"/>
              <w:ind w:left="0"/>
              <w:jc w:val="both"/>
              <w:rPr>
                <w:rFonts w:asciiTheme="minorHAnsi" w:hAnsiTheme="minorHAnsi" w:cs="Arial"/>
                <w:sz w:val="24"/>
                <w:szCs w:val="24"/>
                <w:u w:val="single"/>
              </w:rPr>
            </w:pPr>
            <w:r w:rsidRPr="00F41E86">
              <w:rPr>
                <w:rFonts w:asciiTheme="minorHAnsi" w:hAnsiTheme="minorHAnsi" w:cs="Arial"/>
                <w:sz w:val="24"/>
                <w:szCs w:val="24"/>
                <w:u w:val="single"/>
              </w:rPr>
              <w:t xml:space="preserve">Information Asset Owners </w:t>
            </w:r>
          </w:p>
          <w:p w14:paraId="2A6E56AF" w14:textId="77777777" w:rsidR="001E7160" w:rsidRPr="00F41E86" w:rsidRDefault="001E7160" w:rsidP="001E7160">
            <w:pPr>
              <w:autoSpaceDE w:val="0"/>
              <w:autoSpaceDN w:val="0"/>
              <w:adjustRightInd w:val="0"/>
              <w:jc w:val="both"/>
              <w:rPr>
                <w:rFonts w:asciiTheme="minorHAnsi" w:hAnsiTheme="minorHAnsi"/>
              </w:rPr>
            </w:pPr>
            <w:r w:rsidRPr="00F41E86">
              <w:rPr>
                <w:rFonts w:asciiTheme="minorHAnsi" w:hAnsiTheme="minorHAnsi"/>
              </w:rPr>
              <w:t xml:space="preserve">The Information Asset Owner (IAO) </w:t>
            </w:r>
            <w:r>
              <w:rPr>
                <w:rFonts w:asciiTheme="minorHAnsi" w:hAnsiTheme="minorHAnsi"/>
              </w:rPr>
              <w:t>is the Practice Manager</w:t>
            </w:r>
            <w:r w:rsidRPr="00F41E86">
              <w:rPr>
                <w:rFonts w:asciiTheme="minorHAnsi" w:hAnsiTheme="minorHAnsi"/>
              </w:rPr>
              <w:t xml:space="preserve">. </w:t>
            </w:r>
            <w:r>
              <w:rPr>
                <w:rFonts w:asciiTheme="minorHAnsi" w:hAnsiTheme="minorHAnsi"/>
              </w:rPr>
              <w:t>He</w:t>
            </w:r>
            <w:r w:rsidRPr="00F41E86">
              <w:rPr>
                <w:rFonts w:asciiTheme="minorHAnsi" w:hAnsiTheme="minorHAnsi"/>
              </w:rPr>
              <w:t xml:space="preserve"> will provide assurance that information risk is managed effectively for their information assists.  This will be achieved by:</w:t>
            </w:r>
          </w:p>
          <w:p w14:paraId="66003204" w14:textId="77777777" w:rsidR="001E7160" w:rsidRPr="00F41E86" w:rsidRDefault="001E7160" w:rsidP="001E7160">
            <w:pPr>
              <w:autoSpaceDE w:val="0"/>
              <w:autoSpaceDN w:val="0"/>
              <w:adjustRightInd w:val="0"/>
              <w:jc w:val="both"/>
              <w:rPr>
                <w:rFonts w:asciiTheme="minorHAnsi" w:hAnsiTheme="minorHAnsi"/>
              </w:rPr>
            </w:pPr>
          </w:p>
          <w:p w14:paraId="308BB75E" w14:textId="77777777" w:rsidR="001E7160" w:rsidRPr="00F41E86" w:rsidRDefault="001E7160" w:rsidP="001E7160">
            <w:pPr>
              <w:numPr>
                <w:ilvl w:val="0"/>
                <w:numId w:val="10"/>
              </w:numPr>
              <w:autoSpaceDE w:val="0"/>
              <w:autoSpaceDN w:val="0"/>
              <w:adjustRightInd w:val="0"/>
              <w:jc w:val="both"/>
              <w:rPr>
                <w:rFonts w:asciiTheme="minorHAnsi" w:hAnsiTheme="minorHAnsi"/>
              </w:rPr>
            </w:pPr>
            <w:r w:rsidRPr="00F41E86">
              <w:rPr>
                <w:rFonts w:asciiTheme="minorHAnsi" w:hAnsiTheme="minorHAnsi"/>
              </w:rPr>
              <w:t xml:space="preserve">Ensuring all Information Assets and flows of data within their remit are identified and logged ensuring each has a legal basis to be processed. </w:t>
            </w:r>
          </w:p>
          <w:p w14:paraId="7B066AE9" w14:textId="77777777" w:rsidR="001E7160" w:rsidRPr="00F41E86" w:rsidRDefault="001E7160" w:rsidP="001E7160">
            <w:pPr>
              <w:numPr>
                <w:ilvl w:val="0"/>
                <w:numId w:val="10"/>
              </w:numPr>
              <w:autoSpaceDE w:val="0"/>
              <w:autoSpaceDN w:val="0"/>
              <w:adjustRightInd w:val="0"/>
              <w:jc w:val="both"/>
              <w:rPr>
                <w:rFonts w:asciiTheme="minorHAnsi" w:hAnsiTheme="minorHAnsi"/>
              </w:rPr>
            </w:pPr>
            <w:r w:rsidRPr="00F41E86">
              <w:rPr>
                <w:rFonts w:asciiTheme="minorHAnsi" w:hAnsiTheme="minorHAnsi"/>
              </w:rPr>
              <w:t xml:space="preserve">Identifying, managing and escalating all information security (for example, dependencies and access control) and information risks as appropriate. </w:t>
            </w:r>
          </w:p>
          <w:p w14:paraId="40405DB6" w14:textId="77777777" w:rsidR="001E7160" w:rsidRPr="00F41E86" w:rsidRDefault="001E7160" w:rsidP="001E7160">
            <w:pPr>
              <w:numPr>
                <w:ilvl w:val="0"/>
                <w:numId w:val="10"/>
              </w:numPr>
              <w:autoSpaceDE w:val="0"/>
              <w:autoSpaceDN w:val="0"/>
              <w:adjustRightInd w:val="0"/>
              <w:jc w:val="both"/>
              <w:rPr>
                <w:rFonts w:asciiTheme="minorHAnsi" w:hAnsiTheme="minorHAnsi"/>
              </w:rPr>
            </w:pPr>
            <w:r w:rsidRPr="00F41E86">
              <w:rPr>
                <w:rFonts w:asciiTheme="minorHAnsi" w:hAnsiTheme="minorHAnsi"/>
              </w:rPr>
              <w:t xml:space="preserve">Supporting Information Asset Administrators who will ensure the above takes place. The detailed roles and responsibilities are defined in Appendix A of the NHS Information Risk Management Guidance </w:t>
            </w:r>
          </w:p>
          <w:p w14:paraId="0057ECB5" w14:textId="77777777" w:rsidR="001E7160" w:rsidRPr="00F41E86" w:rsidRDefault="001E7160" w:rsidP="001E7160">
            <w:pPr>
              <w:numPr>
                <w:ilvl w:val="0"/>
                <w:numId w:val="10"/>
              </w:numPr>
              <w:autoSpaceDE w:val="0"/>
              <w:autoSpaceDN w:val="0"/>
              <w:adjustRightInd w:val="0"/>
              <w:jc w:val="both"/>
              <w:rPr>
                <w:rFonts w:asciiTheme="minorHAnsi" w:hAnsiTheme="minorHAnsi"/>
              </w:rPr>
            </w:pPr>
            <w:r w:rsidRPr="00F41E86">
              <w:rPr>
                <w:rFonts w:asciiTheme="minorHAnsi" w:hAnsiTheme="minorHAnsi"/>
              </w:rPr>
              <w:t>Ensuring that information risk assessments are performed on all information assets where they have been assigned ‘ownership’ and provide assurance to the SIRO on the security and use of these assets;</w:t>
            </w:r>
          </w:p>
          <w:p w14:paraId="48208A36" w14:textId="77777777" w:rsidR="001E7160" w:rsidRPr="00F41E86" w:rsidRDefault="001E7160" w:rsidP="001E7160">
            <w:pPr>
              <w:numPr>
                <w:ilvl w:val="0"/>
                <w:numId w:val="10"/>
              </w:numPr>
              <w:autoSpaceDE w:val="0"/>
              <w:autoSpaceDN w:val="0"/>
              <w:adjustRightInd w:val="0"/>
              <w:jc w:val="both"/>
              <w:rPr>
                <w:rFonts w:asciiTheme="minorHAnsi" w:hAnsiTheme="minorHAnsi"/>
              </w:rPr>
            </w:pPr>
            <w:r w:rsidRPr="00F41E86">
              <w:rPr>
                <w:rFonts w:asciiTheme="minorHAnsi" w:hAnsiTheme="minorHAnsi"/>
              </w:rPr>
              <w:t>Knowing what information is held and for what purpose;</w:t>
            </w:r>
          </w:p>
          <w:p w14:paraId="236304C6" w14:textId="77777777" w:rsidR="001E7160" w:rsidRPr="00F41E86" w:rsidRDefault="001E7160" w:rsidP="001E7160">
            <w:pPr>
              <w:pStyle w:val="BodyTextIndent"/>
              <w:numPr>
                <w:ilvl w:val="0"/>
                <w:numId w:val="10"/>
              </w:numPr>
              <w:spacing w:after="240"/>
              <w:jc w:val="both"/>
              <w:rPr>
                <w:rFonts w:asciiTheme="minorHAnsi" w:hAnsiTheme="minorHAnsi" w:cs="Arial"/>
                <w:sz w:val="24"/>
                <w:szCs w:val="24"/>
              </w:rPr>
            </w:pPr>
            <w:r w:rsidRPr="00F41E86">
              <w:rPr>
                <w:rFonts w:asciiTheme="minorHAnsi" w:hAnsiTheme="minorHAnsi" w:cs="Arial"/>
                <w:sz w:val="24"/>
                <w:szCs w:val="24"/>
              </w:rPr>
              <w:t>Ensuring that information governance policies and system level procedures are followed.</w:t>
            </w:r>
          </w:p>
          <w:p w14:paraId="28BAE8E9" w14:textId="77777777" w:rsidR="001E7160" w:rsidRPr="001E7160" w:rsidRDefault="001E7160" w:rsidP="001E7160">
            <w:pPr>
              <w:pStyle w:val="Heading2"/>
              <w:rPr>
                <w:rStyle w:val="Emphasis"/>
              </w:rPr>
            </w:pPr>
          </w:p>
        </w:tc>
      </w:tr>
    </w:tbl>
    <w:p w14:paraId="22210827" w14:textId="77777777" w:rsidR="008233ED" w:rsidRPr="00F41E86" w:rsidRDefault="008233ED" w:rsidP="008233ED">
      <w:pPr>
        <w:pStyle w:val="BodyTextIndent"/>
        <w:spacing w:after="240"/>
        <w:ind w:left="0"/>
        <w:jc w:val="both"/>
        <w:rPr>
          <w:rFonts w:asciiTheme="minorHAnsi" w:hAnsiTheme="minorHAnsi" w:cs="Arial"/>
          <w:sz w:val="24"/>
          <w:szCs w:val="24"/>
          <w:u w:val="single"/>
        </w:rPr>
      </w:pPr>
      <w:r w:rsidRPr="00F41E86">
        <w:rPr>
          <w:rFonts w:asciiTheme="minorHAnsi" w:hAnsiTheme="minorHAnsi" w:cs="Arial"/>
          <w:sz w:val="24"/>
          <w:szCs w:val="24"/>
          <w:u w:val="single"/>
        </w:rPr>
        <w:t>All staff (and Third Parties)</w:t>
      </w:r>
    </w:p>
    <w:p w14:paraId="684286D3" w14:textId="77777777" w:rsidR="008233ED" w:rsidRPr="00F41E86" w:rsidRDefault="008233ED" w:rsidP="008233ED">
      <w:pPr>
        <w:autoSpaceDE w:val="0"/>
        <w:autoSpaceDN w:val="0"/>
        <w:adjustRightInd w:val="0"/>
        <w:jc w:val="both"/>
        <w:rPr>
          <w:rFonts w:asciiTheme="minorHAnsi" w:hAnsiTheme="minorHAnsi"/>
        </w:rPr>
      </w:pPr>
      <w:r w:rsidRPr="00F41E86">
        <w:rPr>
          <w:rFonts w:asciiTheme="minorHAnsi" w:hAnsiTheme="minorHAnsi"/>
        </w:rPr>
        <w:t xml:space="preserve">All those working for the practice have legal obligations, under the Data Protection legislation, common law duty of confidentiality, and professional obligations, for example the Confidentiality NHS Code of Practice and professional codes of conduct. These are in addition to their </w:t>
      </w:r>
      <w:r w:rsidRPr="00F41E86">
        <w:rPr>
          <w:rFonts w:asciiTheme="minorHAnsi" w:hAnsiTheme="minorHAnsi"/>
        </w:rPr>
        <w:lastRenderedPageBreak/>
        <w:t xml:space="preserve">contractual obligations which include adherence to policy, and confidentiality clauses in their contract. </w:t>
      </w:r>
    </w:p>
    <w:p w14:paraId="5B3B3181" w14:textId="77777777" w:rsidR="008233ED" w:rsidRPr="00F41E86" w:rsidRDefault="008233ED" w:rsidP="008233ED">
      <w:pPr>
        <w:autoSpaceDE w:val="0"/>
        <w:autoSpaceDN w:val="0"/>
        <w:adjustRightInd w:val="0"/>
        <w:jc w:val="both"/>
        <w:rPr>
          <w:rFonts w:asciiTheme="minorHAnsi" w:hAnsiTheme="minorHAnsi"/>
        </w:rPr>
      </w:pPr>
    </w:p>
    <w:p w14:paraId="08E70E70" w14:textId="77777777" w:rsidR="008233ED" w:rsidRPr="00F41E86" w:rsidRDefault="008233ED" w:rsidP="008233ED">
      <w:pPr>
        <w:autoSpaceDE w:val="0"/>
        <w:autoSpaceDN w:val="0"/>
        <w:adjustRightInd w:val="0"/>
        <w:jc w:val="both"/>
        <w:rPr>
          <w:rFonts w:asciiTheme="minorHAnsi" w:hAnsiTheme="minorHAnsi"/>
        </w:rPr>
      </w:pPr>
      <w:r w:rsidRPr="00F41E86">
        <w:rPr>
          <w:rFonts w:asciiTheme="minorHAnsi" w:hAnsiTheme="minorHAnsi"/>
        </w:rPr>
        <w:t xml:space="preserve">The same responsibilities apply to those working on behalf of the organisations whether they are volunteers, students, work placements, contractors or temporary employees. Those working on behalf of the organisation are required to sign a third-party agreement outlining their duties and obligations. </w:t>
      </w:r>
    </w:p>
    <w:p w14:paraId="232199BC" w14:textId="77777777" w:rsidR="008233ED" w:rsidRPr="00F41E86" w:rsidRDefault="008233ED" w:rsidP="008233ED">
      <w:pPr>
        <w:autoSpaceDE w:val="0"/>
        <w:autoSpaceDN w:val="0"/>
        <w:adjustRightInd w:val="0"/>
        <w:jc w:val="both"/>
        <w:rPr>
          <w:rFonts w:asciiTheme="minorHAnsi" w:hAnsiTheme="minorHAnsi"/>
        </w:rPr>
      </w:pPr>
    </w:p>
    <w:p w14:paraId="5B1379DE" w14:textId="77777777" w:rsidR="008233ED" w:rsidRPr="00F41E86" w:rsidRDefault="008233ED" w:rsidP="008233ED">
      <w:pPr>
        <w:autoSpaceDE w:val="0"/>
        <w:autoSpaceDN w:val="0"/>
        <w:adjustRightInd w:val="0"/>
        <w:jc w:val="both"/>
        <w:rPr>
          <w:rFonts w:asciiTheme="minorHAnsi" w:hAnsiTheme="minorHAnsi"/>
        </w:rPr>
      </w:pPr>
      <w:r w:rsidRPr="00F41E86">
        <w:rPr>
          <w:rFonts w:asciiTheme="minorHAnsi" w:hAnsiTheme="minorHAnsi"/>
        </w:rPr>
        <w:t>Breaches of any law, contract, code of practice or confidentiality agreement will be reported using appropriate channels and action taken where necessary.</w:t>
      </w:r>
    </w:p>
    <w:p w14:paraId="153718CF" w14:textId="77777777" w:rsidR="001E7160" w:rsidRDefault="001E7160" w:rsidP="008233ED">
      <w:pPr>
        <w:pStyle w:val="BodyTextIndent"/>
        <w:spacing w:after="240"/>
        <w:ind w:left="0"/>
        <w:jc w:val="both"/>
        <w:rPr>
          <w:rFonts w:asciiTheme="minorHAnsi" w:hAnsiTheme="minorHAnsi" w:cs="Arial"/>
          <w:sz w:val="24"/>
          <w:szCs w:val="24"/>
          <w:u w:val="single"/>
        </w:rPr>
      </w:pPr>
    </w:p>
    <w:p w14:paraId="7DBF8AE5" w14:textId="77777777" w:rsidR="008233ED" w:rsidRPr="00F41E86" w:rsidRDefault="008233ED" w:rsidP="008233ED">
      <w:pPr>
        <w:pStyle w:val="BodyTextIndent"/>
        <w:spacing w:after="240"/>
        <w:ind w:left="0"/>
        <w:jc w:val="both"/>
        <w:rPr>
          <w:rFonts w:asciiTheme="minorHAnsi" w:hAnsiTheme="minorHAnsi" w:cs="Arial"/>
          <w:sz w:val="24"/>
          <w:szCs w:val="24"/>
          <w:u w:val="single"/>
        </w:rPr>
      </w:pPr>
      <w:r w:rsidRPr="00F41E86">
        <w:rPr>
          <w:rFonts w:asciiTheme="minorHAnsi" w:hAnsiTheme="minorHAnsi" w:cs="Arial"/>
          <w:sz w:val="24"/>
          <w:szCs w:val="24"/>
          <w:u w:val="single"/>
        </w:rPr>
        <w:t>IG Policies</w:t>
      </w:r>
    </w:p>
    <w:p w14:paraId="38408142" w14:textId="77777777" w:rsidR="008233ED" w:rsidRPr="00F41E86" w:rsidRDefault="008233ED" w:rsidP="008233ED">
      <w:pPr>
        <w:autoSpaceDE w:val="0"/>
        <w:autoSpaceDN w:val="0"/>
        <w:adjustRightInd w:val="0"/>
        <w:jc w:val="both"/>
        <w:rPr>
          <w:rFonts w:asciiTheme="minorHAnsi" w:hAnsiTheme="minorHAnsi"/>
        </w:rPr>
      </w:pPr>
      <w:r w:rsidRPr="00F41E86">
        <w:rPr>
          <w:rFonts w:asciiTheme="minorHAnsi" w:hAnsiTheme="minorHAnsi"/>
        </w:rPr>
        <w:t>The practice is committed to ensuring that its policies follow the HORUS model as proposed by the Department of Health to ensure compliance with legislation, including the GDPR 2016 and Data Protection Act 2018.</w:t>
      </w:r>
    </w:p>
    <w:p w14:paraId="1DAB8371" w14:textId="77777777" w:rsidR="008233ED" w:rsidRPr="00F41E86" w:rsidRDefault="008233ED" w:rsidP="008233ED">
      <w:pPr>
        <w:autoSpaceDE w:val="0"/>
        <w:autoSpaceDN w:val="0"/>
        <w:adjustRightInd w:val="0"/>
        <w:jc w:val="both"/>
        <w:rPr>
          <w:rFonts w:asciiTheme="minorHAnsi" w:hAnsiTheme="minorHAnsi"/>
        </w:rPr>
      </w:pPr>
    </w:p>
    <w:p w14:paraId="57DE3DF2" w14:textId="77777777" w:rsidR="008233ED" w:rsidRPr="00F41E86" w:rsidRDefault="008233ED" w:rsidP="008233ED">
      <w:pPr>
        <w:autoSpaceDE w:val="0"/>
        <w:autoSpaceDN w:val="0"/>
        <w:adjustRightInd w:val="0"/>
        <w:jc w:val="both"/>
        <w:rPr>
          <w:rFonts w:asciiTheme="minorHAnsi" w:hAnsiTheme="minorHAnsi"/>
        </w:rPr>
      </w:pPr>
      <w:r w:rsidRPr="00F41E86">
        <w:rPr>
          <w:rFonts w:asciiTheme="minorHAnsi" w:hAnsiTheme="minorHAnsi"/>
        </w:rPr>
        <w:t xml:space="preserve">The principles of this model are that information is: </w:t>
      </w:r>
    </w:p>
    <w:p w14:paraId="03FB5A17" w14:textId="77777777" w:rsidR="008233ED" w:rsidRPr="00F41E86" w:rsidRDefault="008233ED" w:rsidP="008233ED">
      <w:pPr>
        <w:numPr>
          <w:ilvl w:val="0"/>
          <w:numId w:val="11"/>
        </w:numPr>
        <w:autoSpaceDE w:val="0"/>
        <w:autoSpaceDN w:val="0"/>
        <w:adjustRightInd w:val="0"/>
        <w:jc w:val="both"/>
        <w:rPr>
          <w:rFonts w:asciiTheme="minorHAnsi" w:hAnsiTheme="minorHAnsi"/>
        </w:rPr>
      </w:pPr>
      <w:r w:rsidRPr="00F41E86">
        <w:rPr>
          <w:rFonts w:asciiTheme="minorHAnsi" w:hAnsiTheme="minorHAnsi"/>
        </w:rPr>
        <w:t>Held safely and confidentially;</w:t>
      </w:r>
    </w:p>
    <w:p w14:paraId="5CBBCA6B" w14:textId="77777777" w:rsidR="008233ED" w:rsidRPr="00F41E86" w:rsidRDefault="008233ED" w:rsidP="008233ED">
      <w:pPr>
        <w:numPr>
          <w:ilvl w:val="0"/>
          <w:numId w:val="11"/>
        </w:numPr>
        <w:autoSpaceDE w:val="0"/>
        <w:autoSpaceDN w:val="0"/>
        <w:adjustRightInd w:val="0"/>
        <w:jc w:val="both"/>
        <w:rPr>
          <w:rFonts w:asciiTheme="minorHAnsi" w:hAnsiTheme="minorHAnsi"/>
        </w:rPr>
      </w:pPr>
      <w:r w:rsidRPr="00F41E86">
        <w:rPr>
          <w:rFonts w:asciiTheme="minorHAnsi" w:hAnsiTheme="minorHAnsi"/>
        </w:rPr>
        <w:t>Obtained fairly and lawfully;</w:t>
      </w:r>
    </w:p>
    <w:p w14:paraId="2B514F34" w14:textId="77777777" w:rsidR="008233ED" w:rsidRPr="00F41E86" w:rsidRDefault="008233ED" w:rsidP="008233ED">
      <w:pPr>
        <w:numPr>
          <w:ilvl w:val="0"/>
          <w:numId w:val="11"/>
        </w:numPr>
        <w:autoSpaceDE w:val="0"/>
        <w:autoSpaceDN w:val="0"/>
        <w:adjustRightInd w:val="0"/>
        <w:jc w:val="both"/>
        <w:rPr>
          <w:rFonts w:asciiTheme="minorHAnsi" w:hAnsiTheme="minorHAnsi"/>
        </w:rPr>
      </w:pPr>
      <w:r w:rsidRPr="00F41E86">
        <w:rPr>
          <w:rFonts w:asciiTheme="minorHAnsi" w:hAnsiTheme="minorHAnsi"/>
        </w:rPr>
        <w:t>Recorded accurately and reliably;</w:t>
      </w:r>
    </w:p>
    <w:p w14:paraId="695839AE" w14:textId="77777777" w:rsidR="008233ED" w:rsidRPr="00F41E86" w:rsidRDefault="008233ED" w:rsidP="008233ED">
      <w:pPr>
        <w:numPr>
          <w:ilvl w:val="0"/>
          <w:numId w:val="11"/>
        </w:numPr>
        <w:autoSpaceDE w:val="0"/>
        <w:autoSpaceDN w:val="0"/>
        <w:adjustRightInd w:val="0"/>
        <w:jc w:val="both"/>
        <w:rPr>
          <w:rFonts w:asciiTheme="minorHAnsi" w:hAnsiTheme="minorHAnsi"/>
        </w:rPr>
      </w:pPr>
      <w:r w:rsidRPr="00F41E86">
        <w:rPr>
          <w:rFonts w:asciiTheme="minorHAnsi" w:hAnsiTheme="minorHAnsi"/>
        </w:rPr>
        <w:t>Used effectively and ethically;</w:t>
      </w:r>
    </w:p>
    <w:p w14:paraId="78A9C676" w14:textId="77777777" w:rsidR="008233ED" w:rsidRPr="00F41E86" w:rsidRDefault="008233ED" w:rsidP="008233ED">
      <w:pPr>
        <w:numPr>
          <w:ilvl w:val="0"/>
          <w:numId w:val="11"/>
        </w:numPr>
        <w:autoSpaceDE w:val="0"/>
        <w:autoSpaceDN w:val="0"/>
        <w:adjustRightInd w:val="0"/>
        <w:jc w:val="both"/>
        <w:rPr>
          <w:rFonts w:asciiTheme="minorHAnsi" w:hAnsiTheme="minorHAnsi"/>
        </w:rPr>
      </w:pPr>
      <w:r w:rsidRPr="00F41E86">
        <w:rPr>
          <w:rFonts w:asciiTheme="minorHAnsi" w:hAnsiTheme="minorHAnsi"/>
        </w:rPr>
        <w:t>Shared and disclosed appropriately and lawfully.</w:t>
      </w:r>
    </w:p>
    <w:p w14:paraId="242F9F8B" w14:textId="77777777" w:rsidR="008233ED" w:rsidRPr="00F41E86" w:rsidRDefault="008233ED" w:rsidP="008233ED">
      <w:pPr>
        <w:autoSpaceDE w:val="0"/>
        <w:autoSpaceDN w:val="0"/>
        <w:adjustRightInd w:val="0"/>
        <w:jc w:val="both"/>
        <w:rPr>
          <w:rFonts w:asciiTheme="minorHAnsi" w:hAnsiTheme="minorHAnsi"/>
        </w:rPr>
      </w:pPr>
    </w:p>
    <w:p w14:paraId="520868F1" w14:textId="77777777" w:rsidR="008233ED" w:rsidRPr="00F41E86" w:rsidRDefault="008233ED" w:rsidP="008233ED">
      <w:pPr>
        <w:autoSpaceDE w:val="0"/>
        <w:autoSpaceDN w:val="0"/>
        <w:adjustRightInd w:val="0"/>
        <w:jc w:val="both"/>
        <w:rPr>
          <w:rFonts w:asciiTheme="minorHAnsi" w:hAnsiTheme="minorHAnsi"/>
        </w:rPr>
      </w:pPr>
      <w:r w:rsidRPr="00F41E86">
        <w:rPr>
          <w:rFonts w:asciiTheme="minorHAnsi" w:hAnsiTheme="minorHAnsi"/>
        </w:rPr>
        <w:t>To deliver this model, the practice will ensure that:</w:t>
      </w:r>
    </w:p>
    <w:p w14:paraId="27AED066" w14:textId="77777777" w:rsidR="008233ED" w:rsidRPr="00F41E86" w:rsidRDefault="008233ED" w:rsidP="008233ED">
      <w:pPr>
        <w:numPr>
          <w:ilvl w:val="0"/>
          <w:numId w:val="12"/>
        </w:numPr>
        <w:autoSpaceDE w:val="0"/>
        <w:autoSpaceDN w:val="0"/>
        <w:adjustRightInd w:val="0"/>
        <w:jc w:val="both"/>
        <w:rPr>
          <w:rFonts w:asciiTheme="minorHAnsi" w:hAnsiTheme="minorHAnsi"/>
        </w:rPr>
      </w:pPr>
      <w:r w:rsidRPr="00F41E86">
        <w:rPr>
          <w:rFonts w:asciiTheme="minorHAnsi" w:hAnsiTheme="minorHAnsi"/>
        </w:rPr>
        <w:t>policies and procedures are in place to facilitate compliance with all relevant legislation, regulations and duties;</w:t>
      </w:r>
    </w:p>
    <w:p w14:paraId="787DB3A4" w14:textId="77777777" w:rsidR="008233ED" w:rsidRPr="00F41E86" w:rsidRDefault="008233ED" w:rsidP="008233ED">
      <w:pPr>
        <w:numPr>
          <w:ilvl w:val="0"/>
          <w:numId w:val="12"/>
        </w:numPr>
        <w:autoSpaceDE w:val="0"/>
        <w:autoSpaceDN w:val="0"/>
        <w:adjustRightInd w:val="0"/>
        <w:jc w:val="both"/>
        <w:rPr>
          <w:rFonts w:asciiTheme="minorHAnsi" w:hAnsiTheme="minorHAnsi"/>
        </w:rPr>
      </w:pPr>
      <w:r w:rsidRPr="00F41E86">
        <w:rPr>
          <w:rFonts w:asciiTheme="minorHAnsi" w:hAnsiTheme="minorHAnsi"/>
        </w:rPr>
        <w:t>compliance with the Data Protection Act 2018 is maintained when handling Personal Confidential Data, except where there is a legal requirement to override the Act;</w:t>
      </w:r>
    </w:p>
    <w:p w14:paraId="09618B93" w14:textId="77777777" w:rsidR="008233ED" w:rsidRPr="00F41E86" w:rsidRDefault="008233ED" w:rsidP="008233ED">
      <w:pPr>
        <w:numPr>
          <w:ilvl w:val="0"/>
          <w:numId w:val="12"/>
        </w:numPr>
        <w:autoSpaceDE w:val="0"/>
        <w:autoSpaceDN w:val="0"/>
        <w:adjustRightInd w:val="0"/>
        <w:jc w:val="both"/>
        <w:rPr>
          <w:rFonts w:asciiTheme="minorHAnsi" w:hAnsiTheme="minorHAnsi"/>
        </w:rPr>
      </w:pPr>
      <w:r w:rsidRPr="00F41E86">
        <w:rPr>
          <w:rFonts w:asciiTheme="minorHAnsi" w:hAnsiTheme="minorHAnsi"/>
        </w:rPr>
        <w:t>information is appropriate for the purpose intended and that at all times the integrity of information is developed, monitored and maintained;</w:t>
      </w:r>
    </w:p>
    <w:p w14:paraId="7E343694" w14:textId="77777777" w:rsidR="008233ED" w:rsidRPr="00F41E86" w:rsidRDefault="008233ED" w:rsidP="008233ED">
      <w:pPr>
        <w:numPr>
          <w:ilvl w:val="0"/>
          <w:numId w:val="12"/>
        </w:numPr>
        <w:autoSpaceDE w:val="0"/>
        <w:autoSpaceDN w:val="0"/>
        <w:adjustRightInd w:val="0"/>
        <w:jc w:val="both"/>
        <w:rPr>
          <w:rFonts w:asciiTheme="minorHAnsi" w:hAnsiTheme="minorHAnsi"/>
        </w:rPr>
      </w:pPr>
      <w:r w:rsidRPr="00F41E86">
        <w:rPr>
          <w:rFonts w:asciiTheme="minorHAnsi" w:hAnsiTheme="minorHAnsi"/>
        </w:rPr>
        <w:t>information made available for operational purposes is maintained within set parameters relating to its importance via appropriate procedures and computer resilience systems;</w:t>
      </w:r>
    </w:p>
    <w:p w14:paraId="341EC41A" w14:textId="77777777" w:rsidR="008233ED" w:rsidRPr="00F41E86" w:rsidRDefault="008233ED" w:rsidP="008233ED">
      <w:pPr>
        <w:numPr>
          <w:ilvl w:val="0"/>
          <w:numId w:val="12"/>
        </w:numPr>
        <w:autoSpaceDE w:val="0"/>
        <w:autoSpaceDN w:val="0"/>
        <w:adjustRightInd w:val="0"/>
        <w:jc w:val="both"/>
        <w:rPr>
          <w:rFonts w:asciiTheme="minorHAnsi" w:hAnsiTheme="minorHAnsi"/>
        </w:rPr>
      </w:pPr>
      <w:r w:rsidRPr="00F41E86">
        <w:rPr>
          <w:rFonts w:asciiTheme="minorHAnsi" w:hAnsiTheme="minorHAnsi"/>
        </w:rPr>
        <w:t>all identifiable information relating to patients is regarded as confidential;</w:t>
      </w:r>
    </w:p>
    <w:p w14:paraId="1B55E87F" w14:textId="77777777" w:rsidR="008233ED" w:rsidRPr="00F41E86" w:rsidRDefault="008233ED" w:rsidP="008233ED">
      <w:pPr>
        <w:numPr>
          <w:ilvl w:val="0"/>
          <w:numId w:val="12"/>
        </w:numPr>
        <w:autoSpaceDE w:val="0"/>
        <w:autoSpaceDN w:val="0"/>
        <w:adjustRightInd w:val="0"/>
        <w:jc w:val="both"/>
        <w:rPr>
          <w:rFonts w:asciiTheme="minorHAnsi" w:hAnsiTheme="minorHAnsi"/>
        </w:rPr>
      </w:pPr>
      <w:r w:rsidRPr="00F41E86">
        <w:rPr>
          <w:rFonts w:asciiTheme="minorHAnsi" w:hAnsiTheme="minorHAnsi"/>
        </w:rPr>
        <w:t>all identifiable information relating to staff is regarded as confidential, except where national policy on accountability and openness requires otherwise;</w:t>
      </w:r>
    </w:p>
    <w:p w14:paraId="49C51BD0" w14:textId="77777777" w:rsidR="008233ED" w:rsidRPr="00F41E86" w:rsidRDefault="008233ED" w:rsidP="008233ED">
      <w:pPr>
        <w:numPr>
          <w:ilvl w:val="0"/>
          <w:numId w:val="12"/>
        </w:numPr>
        <w:autoSpaceDE w:val="0"/>
        <w:autoSpaceDN w:val="0"/>
        <w:adjustRightInd w:val="0"/>
        <w:jc w:val="both"/>
        <w:rPr>
          <w:rFonts w:asciiTheme="minorHAnsi" w:hAnsiTheme="minorHAnsi"/>
        </w:rPr>
      </w:pPr>
      <w:r w:rsidRPr="00F41E86">
        <w:rPr>
          <w:rFonts w:asciiTheme="minorHAnsi" w:hAnsiTheme="minorHAnsi"/>
        </w:rPr>
        <w:t>when person identifiable data is shared, the sharing complies with the law;</w:t>
      </w:r>
    </w:p>
    <w:p w14:paraId="29C8E5F0" w14:textId="77777777" w:rsidR="008233ED" w:rsidRPr="00F41E86" w:rsidRDefault="008233ED" w:rsidP="008233ED">
      <w:pPr>
        <w:numPr>
          <w:ilvl w:val="0"/>
          <w:numId w:val="12"/>
        </w:numPr>
        <w:autoSpaceDE w:val="0"/>
        <w:autoSpaceDN w:val="0"/>
        <w:adjustRightInd w:val="0"/>
        <w:jc w:val="both"/>
        <w:rPr>
          <w:rFonts w:asciiTheme="minorHAnsi" w:hAnsiTheme="minorHAnsi"/>
        </w:rPr>
      </w:pPr>
      <w:r w:rsidRPr="00F41E86">
        <w:rPr>
          <w:rFonts w:asciiTheme="minorHAnsi" w:hAnsiTheme="minorHAnsi"/>
        </w:rPr>
        <w:t>guidance and best practice and both service user rights and public interest are respected;</w:t>
      </w:r>
    </w:p>
    <w:p w14:paraId="1B29E6D5" w14:textId="77777777" w:rsidR="008233ED" w:rsidRPr="00F41E86" w:rsidRDefault="008233ED" w:rsidP="008233ED">
      <w:pPr>
        <w:numPr>
          <w:ilvl w:val="0"/>
          <w:numId w:val="12"/>
        </w:numPr>
        <w:autoSpaceDE w:val="0"/>
        <w:autoSpaceDN w:val="0"/>
        <w:adjustRightInd w:val="0"/>
        <w:jc w:val="both"/>
        <w:rPr>
          <w:rFonts w:asciiTheme="minorHAnsi" w:hAnsiTheme="minorHAnsi"/>
        </w:rPr>
      </w:pPr>
      <w:r w:rsidRPr="00F41E86">
        <w:rPr>
          <w:rFonts w:asciiTheme="minorHAnsi" w:hAnsiTheme="minorHAnsi"/>
        </w:rPr>
        <w:t xml:space="preserve">non-confidential information relating to </w:t>
      </w:r>
      <w:r>
        <w:rPr>
          <w:rFonts w:asciiTheme="minorHAnsi" w:hAnsiTheme="minorHAnsi"/>
        </w:rPr>
        <w:t>the practice</w:t>
      </w:r>
      <w:r w:rsidRPr="00F41E86">
        <w:rPr>
          <w:rFonts w:asciiTheme="minorHAnsi" w:hAnsiTheme="minorHAnsi"/>
        </w:rPr>
        <w:t xml:space="preserve"> and its services is made available to the public through a variety of media, in line with the Freedom of Information Act and Environmental Information Regulations;</w:t>
      </w:r>
    </w:p>
    <w:p w14:paraId="31892729" w14:textId="77777777" w:rsidR="008233ED" w:rsidRPr="00F41E86" w:rsidRDefault="008233ED" w:rsidP="008233ED">
      <w:pPr>
        <w:numPr>
          <w:ilvl w:val="0"/>
          <w:numId w:val="12"/>
        </w:numPr>
        <w:autoSpaceDE w:val="0"/>
        <w:autoSpaceDN w:val="0"/>
        <w:adjustRightInd w:val="0"/>
        <w:jc w:val="both"/>
        <w:rPr>
          <w:rFonts w:asciiTheme="minorHAnsi" w:hAnsiTheme="minorHAnsi"/>
        </w:rPr>
      </w:pPr>
      <w:r w:rsidRPr="00F41E86">
        <w:rPr>
          <w:rFonts w:asciiTheme="minorHAnsi" w:hAnsiTheme="minorHAnsi"/>
        </w:rPr>
        <w:t>will have clear procedures and arrangements for liaison with the press and broadcasting media;</w:t>
      </w:r>
    </w:p>
    <w:p w14:paraId="75B0290E" w14:textId="77777777" w:rsidR="008233ED" w:rsidRPr="00F41E86" w:rsidRDefault="008233ED" w:rsidP="008233ED">
      <w:pPr>
        <w:numPr>
          <w:ilvl w:val="0"/>
          <w:numId w:val="12"/>
        </w:numPr>
        <w:autoSpaceDE w:val="0"/>
        <w:autoSpaceDN w:val="0"/>
        <w:adjustRightInd w:val="0"/>
        <w:jc w:val="both"/>
        <w:rPr>
          <w:rFonts w:asciiTheme="minorHAnsi" w:hAnsiTheme="minorHAnsi"/>
        </w:rPr>
      </w:pPr>
      <w:r w:rsidRPr="00F41E86">
        <w:rPr>
          <w:rFonts w:asciiTheme="minorHAnsi" w:hAnsiTheme="minorHAnsi"/>
        </w:rPr>
        <w:t>patients and service users will have access to information relating to their own health care, options and treatment and their rights as patients;</w:t>
      </w:r>
    </w:p>
    <w:p w14:paraId="02240423" w14:textId="77777777" w:rsidR="008233ED" w:rsidRPr="00F41E86" w:rsidRDefault="008233ED" w:rsidP="008233ED">
      <w:pPr>
        <w:numPr>
          <w:ilvl w:val="0"/>
          <w:numId w:val="12"/>
        </w:numPr>
        <w:autoSpaceDE w:val="0"/>
        <w:autoSpaceDN w:val="0"/>
        <w:adjustRightInd w:val="0"/>
        <w:jc w:val="both"/>
        <w:rPr>
          <w:rFonts w:asciiTheme="minorHAnsi" w:hAnsiTheme="minorHAnsi"/>
        </w:rPr>
      </w:pPr>
      <w:r w:rsidRPr="00F41E86">
        <w:rPr>
          <w:rFonts w:asciiTheme="minorHAnsi" w:hAnsiTheme="minorHAnsi"/>
        </w:rPr>
        <w:t>undertake or commission annual audits of compliance with legal requirements;</w:t>
      </w:r>
    </w:p>
    <w:p w14:paraId="3ABF648B" w14:textId="77777777" w:rsidR="008233ED" w:rsidRPr="00F41E86" w:rsidRDefault="008233ED" w:rsidP="008233ED">
      <w:pPr>
        <w:numPr>
          <w:ilvl w:val="0"/>
          <w:numId w:val="12"/>
        </w:numPr>
        <w:autoSpaceDE w:val="0"/>
        <w:autoSpaceDN w:val="0"/>
        <w:adjustRightInd w:val="0"/>
        <w:jc w:val="both"/>
        <w:rPr>
          <w:rFonts w:asciiTheme="minorHAnsi" w:hAnsiTheme="minorHAnsi"/>
        </w:rPr>
      </w:pPr>
      <w:r w:rsidRPr="00F41E86">
        <w:rPr>
          <w:rFonts w:asciiTheme="minorHAnsi" w:hAnsiTheme="minorHAnsi"/>
        </w:rPr>
        <w:t>information and IT security, information quality and record management requirements are met in accordance with the DS&amp;P Toolkit;</w:t>
      </w:r>
    </w:p>
    <w:p w14:paraId="5B80FA52" w14:textId="77777777" w:rsidR="008233ED" w:rsidRPr="00F41E86" w:rsidRDefault="008233ED" w:rsidP="008233ED">
      <w:pPr>
        <w:numPr>
          <w:ilvl w:val="0"/>
          <w:numId w:val="12"/>
        </w:numPr>
        <w:autoSpaceDE w:val="0"/>
        <w:autoSpaceDN w:val="0"/>
        <w:adjustRightInd w:val="0"/>
        <w:jc w:val="both"/>
        <w:rPr>
          <w:rFonts w:asciiTheme="minorHAnsi" w:hAnsiTheme="minorHAnsi"/>
        </w:rPr>
      </w:pPr>
      <w:r w:rsidRPr="00F41E86">
        <w:rPr>
          <w:rFonts w:asciiTheme="minorHAnsi" w:hAnsiTheme="minorHAnsi"/>
        </w:rPr>
        <w:t>the roles and responsibilities identified within the IG Framework are integrated and embedded within the organisation;</w:t>
      </w:r>
    </w:p>
    <w:p w14:paraId="7E0FF3C0" w14:textId="77777777" w:rsidR="008233ED" w:rsidRPr="00F41E86" w:rsidRDefault="008233ED" w:rsidP="008233ED">
      <w:pPr>
        <w:numPr>
          <w:ilvl w:val="0"/>
          <w:numId w:val="12"/>
        </w:numPr>
        <w:autoSpaceDE w:val="0"/>
        <w:autoSpaceDN w:val="0"/>
        <w:adjustRightInd w:val="0"/>
        <w:jc w:val="both"/>
        <w:rPr>
          <w:rFonts w:asciiTheme="minorHAnsi" w:hAnsiTheme="minorHAnsi"/>
        </w:rPr>
      </w:pPr>
      <w:r w:rsidRPr="00F41E86">
        <w:rPr>
          <w:rFonts w:asciiTheme="minorHAnsi" w:hAnsiTheme="minorHAnsi"/>
        </w:rPr>
        <w:t>procedures for the effective and secure management of its information assets and resources are established and maintained;</w:t>
      </w:r>
    </w:p>
    <w:p w14:paraId="45071665" w14:textId="77777777" w:rsidR="008233ED" w:rsidRPr="00F41E86" w:rsidRDefault="008233ED" w:rsidP="008233ED">
      <w:pPr>
        <w:numPr>
          <w:ilvl w:val="0"/>
          <w:numId w:val="12"/>
        </w:numPr>
        <w:autoSpaceDE w:val="0"/>
        <w:autoSpaceDN w:val="0"/>
        <w:adjustRightInd w:val="0"/>
        <w:jc w:val="both"/>
        <w:rPr>
          <w:rFonts w:asciiTheme="minorHAnsi" w:hAnsiTheme="minorHAnsi"/>
        </w:rPr>
      </w:pPr>
      <w:r w:rsidRPr="00F41E86">
        <w:rPr>
          <w:rFonts w:asciiTheme="minorHAnsi" w:hAnsiTheme="minorHAnsi"/>
        </w:rPr>
        <w:lastRenderedPageBreak/>
        <w:t>information is managed throughout its lifecycle of creation, retention, maintenance, use and disposal;</w:t>
      </w:r>
    </w:p>
    <w:p w14:paraId="3BF2EE18" w14:textId="77777777" w:rsidR="008233ED" w:rsidRPr="00F41E86" w:rsidRDefault="008233ED" w:rsidP="008233ED">
      <w:pPr>
        <w:numPr>
          <w:ilvl w:val="0"/>
          <w:numId w:val="12"/>
        </w:numPr>
        <w:autoSpaceDE w:val="0"/>
        <w:autoSpaceDN w:val="0"/>
        <w:adjustRightInd w:val="0"/>
        <w:jc w:val="both"/>
        <w:rPr>
          <w:rFonts w:asciiTheme="minorHAnsi" w:hAnsiTheme="minorHAnsi"/>
        </w:rPr>
      </w:pPr>
      <w:r w:rsidRPr="00F41E86">
        <w:rPr>
          <w:rFonts w:asciiTheme="minorHAnsi" w:hAnsiTheme="minorHAnsi"/>
        </w:rPr>
        <w:t xml:space="preserve">procedures for information quality assurance and the effective management of records are established and maintained; </w:t>
      </w:r>
    </w:p>
    <w:p w14:paraId="71A4DA8B" w14:textId="77777777" w:rsidR="008233ED" w:rsidRPr="00F41E86" w:rsidRDefault="008233ED" w:rsidP="008233ED">
      <w:pPr>
        <w:numPr>
          <w:ilvl w:val="0"/>
          <w:numId w:val="12"/>
        </w:numPr>
        <w:autoSpaceDE w:val="0"/>
        <w:autoSpaceDN w:val="0"/>
        <w:adjustRightInd w:val="0"/>
        <w:jc w:val="both"/>
        <w:rPr>
          <w:rFonts w:asciiTheme="minorHAnsi" w:hAnsiTheme="minorHAnsi"/>
        </w:rPr>
      </w:pPr>
      <w:r w:rsidRPr="00F41E86">
        <w:rPr>
          <w:rFonts w:asciiTheme="minorHAnsi" w:hAnsiTheme="minorHAnsi"/>
        </w:rPr>
        <w:t>information is effectively managed so that it is accurate, up-to-date, secure, retrievable and available when required;</w:t>
      </w:r>
    </w:p>
    <w:p w14:paraId="5C60FFCE" w14:textId="77777777" w:rsidR="008233ED" w:rsidRPr="00F41E86" w:rsidRDefault="008233ED" w:rsidP="008233ED">
      <w:pPr>
        <w:numPr>
          <w:ilvl w:val="0"/>
          <w:numId w:val="12"/>
        </w:numPr>
        <w:autoSpaceDE w:val="0"/>
        <w:autoSpaceDN w:val="0"/>
        <w:adjustRightInd w:val="0"/>
        <w:jc w:val="both"/>
        <w:rPr>
          <w:rFonts w:asciiTheme="minorHAnsi" w:hAnsiTheme="minorHAnsi"/>
        </w:rPr>
      </w:pPr>
      <w:r w:rsidRPr="00F41E86">
        <w:rPr>
          <w:rFonts w:asciiTheme="minorHAnsi" w:hAnsiTheme="minorHAnsi"/>
        </w:rPr>
        <w:t xml:space="preserve">incident reporting procedures, which includes the investigation of all reported instances of actual or potential breaches of confidentiality and security are established and maintained; </w:t>
      </w:r>
    </w:p>
    <w:p w14:paraId="10425EAD" w14:textId="77777777" w:rsidR="008233ED" w:rsidRPr="00F41E86" w:rsidRDefault="008233ED" w:rsidP="008233ED">
      <w:pPr>
        <w:numPr>
          <w:ilvl w:val="0"/>
          <w:numId w:val="12"/>
        </w:numPr>
        <w:autoSpaceDE w:val="0"/>
        <w:autoSpaceDN w:val="0"/>
        <w:adjustRightInd w:val="0"/>
        <w:jc w:val="both"/>
        <w:rPr>
          <w:rFonts w:asciiTheme="minorHAnsi" w:hAnsiTheme="minorHAnsi"/>
        </w:rPr>
      </w:pPr>
      <w:r w:rsidRPr="00F41E86">
        <w:rPr>
          <w:rFonts w:asciiTheme="minorHAnsi" w:hAnsiTheme="minorHAnsi"/>
        </w:rPr>
        <w:t>Risk Management and reporting procedures are established and maintained, and will have in place risk controls and monitoring processes all reported information risks;</w:t>
      </w:r>
    </w:p>
    <w:p w14:paraId="5D36C858" w14:textId="77777777" w:rsidR="008233ED" w:rsidRPr="00F41E86" w:rsidRDefault="008233ED" w:rsidP="008233ED">
      <w:pPr>
        <w:numPr>
          <w:ilvl w:val="0"/>
          <w:numId w:val="12"/>
        </w:numPr>
        <w:autoSpaceDE w:val="0"/>
        <w:autoSpaceDN w:val="0"/>
        <w:adjustRightInd w:val="0"/>
        <w:jc w:val="both"/>
        <w:rPr>
          <w:rFonts w:asciiTheme="minorHAnsi" w:hAnsiTheme="minorHAnsi"/>
          <w:b/>
        </w:rPr>
      </w:pPr>
      <w:r w:rsidRPr="00F41E86">
        <w:rPr>
          <w:rFonts w:asciiTheme="minorHAnsi" w:hAnsiTheme="minorHAnsi"/>
        </w:rPr>
        <w:t>Relevant instruction and training is provided to all staff through induction and thereafter annually in relation to this policy.</w:t>
      </w:r>
    </w:p>
    <w:p w14:paraId="19B0CC56" w14:textId="77777777" w:rsidR="008233ED" w:rsidRPr="00F41E86" w:rsidRDefault="008233ED" w:rsidP="008233ED">
      <w:pPr>
        <w:pStyle w:val="BodyTextIndent"/>
        <w:spacing w:after="240"/>
        <w:ind w:left="0"/>
        <w:jc w:val="both"/>
        <w:rPr>
          <w:rFonts w:asciiTheme="minorHAnsi" w:hAnsiTheme="minorHAnsi" w:cs="Arial"/>
          <w:b/>
          <w:sz w:val="24"/>
          <w:szCs w:val="24"/>
        </w:rPr>
      </w:pPr>
    </w:p>
    <w:p w14:paraId="2E9BB617" w14:textId="77777777" w:rsidR="008233ED" w:rsidRPr="00F41E86" w:rsidRDefault="008233ED" w:rsidP="008233ED">
      <w:pPr>
        <w:pStyle w:val="BodyTextIndent"/>
        <w:spacing w:after="240"/>
        <w:ind w:left="0"/>
        <w:jc w:val="both"/>
        <w:rPr>
          <w:rFonts w:asciiTheme="minorHAnsi" w:hAnsiTheme="minorHAnsi" w:cs="Arial"/>
          <w:sz w:val="24"/>
          <w:szCs w:val="24"/>
          <w:u w:val="single"/>
        </w:rPr>
      </w:pPr>
      <w:r w:rsidRPr="00F41E86">
        <w:rPr>
          <w:rFonts w:asciiTheme="minorHAnsi" w:hAnsiTheme="minorHAnsi" w:cs="Arial"/>
          <w:sz w:val="24"/>
          <w:szCs w:val="24"/>
          <w:u w:val="single"/>
        </w:rPr>
        <w:t>IG Resources</w:t>
      </w:r>
    </w:p>
    <w:p w14:paraId="26A568B3" w14:textId="77777777" w:rsidR="008233ED" w:rsidRPr="00F41E86" w:rsidRDefault="008233ED" w:rsidP="008233ED">
      <w:pPr>
        <w:autoSpaceDE w:val="0"/>
        <w:autoSpaceDN w:val="0"/>
        <w:adjustRightInd w:val="0"/>
        <w:jc w:val="both"/>
        <w:rPr>
          <w:rFonts w:asciiTheme="minorHAnsi" w:hAnsiTheme="minorHAnsi"/>
        </w:rPr>
      </w:pPr>
      <w:r w:rsidRPr="00F41E86">
        <w:rPr>
          <w:rFonts w:asciiTheme="minorHAnsi" w:hAnsiTheme="minorHAnsi"/>
        </w:rPr>
        <w:t>The Information Governance Policy and Framework is enacted through the Information Governance Improvement Plan. This covers major elements of information governance implementation, including:</w:t>
      </w:r>
    </w:p>
    <w:p w14:paraId="32AE546C" w14:textId="77777777" w:rsidR="008233ED" w:rsidRPr="00F41E86" w:rsidRDefault="008233ED" w:rsidP="008233ED">
      <w:pPr>
        <w:numPr>
          <w:ilvl w:val="0"/>
          <w:numId w:val="13"/>
        </w:numPr>
        <w:autoSpaceDE w:val="0"/>
        <w:autoSpaceDN w:val="0"/>
        <w:adjustRightInd w:val="0"/>
        <w:jc w:val="both"/>
        <w:rPr>
          <w:rFonts w:asciiTheme="minorHAnsi" w:hAnsiTheme="minorHAnsi"/>
        </w:rPr>
      </w:pPr>
      <w:r w:rsidRPr="00F41E86">
        <w:rPr>
          <w:rFonts w:asciiTheme="minorHAnsi" w:hAnsiTheme="minorHAnsi"/>
        </w:rPr>
        <w:t>Completion of the IG/DS&amp;P Toolkit;</w:t>
      </w:r>
    </w:p>
    <w:p w14:paraId="64E99251" w14:textId="77777777" w:rsidR="008233ED" w:rsidRPr="00F41E86" w:rsidRDefault="008233ED" w:rsidP="008233ED">
      <w:pPr>
        <w:numPr>
          <w:ilvl w:val="0"/>
          <w:numId w:val="13"/>
        </w:numPr>
        <w:autoSpaceDE w:val="0"/>
        <w:autoSpaceDN w:val="0"/>
        <w:adjustRightInd w:val="0"/>
        <w:jc w:val="both"/>
        <w:rPr>
          <w:rFonts w:asciiTheme="minorHAnsi" w:hAnsiTheme="minorHAnsi"/>
        </w:rPr>
      </w:pPr>
      <w:r w:rsidRPr="00F41E86">
        <w:rPr>
          <w:rFonts w:asciiTheme="minorHAnsi" w:hAnsiTheme="minorHAnsi"/>
        </w:rPr>
        <w:t>Implementation of relevant policies and procedures;</w:t>
      </w:r>
    </w:p>
    <w:p w14:paraId="6F9F1A85" w14:textId="77777777" w:rsidR="008233ED" w:rsidRPr="00F41E86" w:rsidRDefault="008233ED" w:rsidP="008233ED">
      <w:pPr>
        <w:numPr>
          <w:ilvl w:val="0"/>
          <w:numId w:val="13"/>
        </w:numPr>
        <w:autoSpaceDE w:val="0"/>
        <w:autoSpaceDN w:val="0"/>
        <w:adjustRightInd w:val="0"/>
        <w:jc w:val="both"/>
        <w:rPr>
          <w:rFonts w:asciiTheme="minorHAnsi" w:hAnsiTheme="minorHAnsi"/>
        </w:rPr>
      </w:pPr>
      <w:r w:rsidRPr="00F41E86">
        <w:rPr>
          <w:rFonts w:asciiTheme="minorHAnsi" w:hAnsiTheme="minorHAnsi"/>
        </w:rPr>
        <w:t>Information flow mapping;</w:t>
      </w:r>
    </w:p>
    <w:p w14:paraId="45C94C23" w14:textId="77777777" w:rsidR="008233ED" w:rsidRPr="00F41E86" w:rsidRDefault="008233ED" w:rsidP="008233ED">
      <w:pPr>
        <w:numPr>
          <w:ilvl w:val="0"/>
          <w:numId w:val="13"/>
        </w:numPr>
        <w:autoSpaceDE w:val="0"/>
        <w:autoSpaceDN w:val="0"/>
        <w:adjustRightInd w:val="0"/>
        <w:jc w:val="both"/>
        <w:rPr>
          <w:rFonts w:asciiTheme="minorHAnsi" w:hAnsiTheme="minorHAnsi"/>
        </w:rPr>
      </w:pPr>
      <w:r w:rsidRPr="00F41E86">
        <w:rPr>
          <w:rFonts w:asciiTheme="minorHAnsi" w:hAnsiTheme="minorHAnsi"/>
        </w:rPr>
        <w:t>Information asset register and asset risk assessments;</w:t>
      </w:r>
    </w:p>
    <w:p w14:paraId="567AC33D" w14:textId="77777777" w:rsidR="008233ED" w:rsidRPr="00F41E86" w:rsidRDefault="008233ED" w:rsidP="008233ED">
      <w:pPr>
        <w:numPr>
          <w:ilvl w:val="0"/>
          <w:numId w:val="13"/>
        </w:numPr>
        <w:autoSpaceDE w:val="0"/>
        <w:autoSpaceDN w:val="0"/>
        <w:adjustRightInd w:val="0"/>
        <w:jc w:val="both"/>
        <w:rPr>
          <w:rFonts w:asciiTheme="minorHAnsi" w:hAnsiTheme="minorHAnsi"/>
        </w:rPr>
      </w:pPr>
      <w:r w:rsidRPr="00F41E86">
        <w:rPr>
          <w:rFonts w:asciiTheme="minorHAnsi" w:hAnsiTheme="minorHAnsi"/>
        </w:rPr>
        <w:t>Incident reporting and management;</w:t>
      </w:r>
    </w:p>
    <w:p w14:paraId="3EA0E3E9" w14:textId="77777777" w:rsidR="008233ED" w:rsidRPr="00F41E86" w:rsidRDefault="008233ED" w:rsidP="008233ED">
      <w:pPr>
        <w:numPr>
          <w:ilvl w:val="0"/>
          <w:numId w:val="13"/>
        </w:numPr>
        <w:autoSpaceDE w:val="0"/>
        <w:autoSpaceDN w:val="0"/>
        <w:adjustRightInd w:val="0"/>
        <w:jc w:val="both"/>
        <w:rPr>
          <w:rFonts w:asciiTheme="minorHAnsi" w:hAnsiTheme="minorHAnsi"/>
        </w:rPr>
      </w:pPr>
      <w:r w:rsidRPr="00F41E86">
        <w:rPr>
          <w:rFonts w:asciiTheme="minorHAnsi" w:hAnsiTheme="minorHAnsi"/>
        </w:rPr>
        <w:t>Mandatory and specialist training;</w:t>
      </w:r>
    </w:p>
    <w:p w14:paraId="3D5438F0" w14:textId="77777777" w:rsidR="008233ED" w:rsidRPr="00F41E86" w:rsidRDefault="008233ED" w:rsidP="008233ED">
      <w:pPr>
        <w:pStyle w:val="BodyTextIndent"/>
        <w:numPr>
          <w:ilvl w:val="0"/>
          <w:numId w:val="13"/>
        </w:numPr>
        <w:spacing w:after="240"/>
        <w:jc w:val="both"/>
        <w:rPr>
          <w:rFonts w:asciiTheme="minorHAnsi" w:hAnsiTheme="minorHAnsi" w:cs="Arial"/>
          <w:b/>
          <w:sz w:val="24"/>
          <w:szCs w:val="24"/>
        </w:rPr>
      </w:pPr>
      <w:r w:rsidRPr="00F41E86">
        <w:rPr>
          <w:rFonts w:asciiTheme="minorHAnsi" w:hAnsiTheme="minorHAnsi" w:cs="Arial"/>
          <w:sz w:val="24"/>
          <w:szCs w:val="24"/>
        </w:rPr>
        <w:t>Annual assurance statements from IAOs to the SIRO, and onwards to the partners</w:t>
      </w:r>
    </w:p>
    <w:p w14:paraId="63191A1D" w14:textId="77777777" w:rsidR="008233ED" w:rsidRPr="00F41E86" w:rsidRDefault="008233ED" w:rsidP="008233ED">
      <w:pPr>
        <w:autoSpaceDE w:val="0"/>
        <w:autoSpaceDN w:val="0"/>
        <w:adjustRightInd w:val="0"/>
        <w:jc w:val="both"/>
        <w:rPr>
          <w:rFonts w:asciiTheme="minorHAnsi" w:hAnsiTheme="minorHAnsi"/>
          <w:b/>
        </w:rPr>
      </w:pPr>
      <w:r w:rsidRPr="00F41E86">
        <w:rPr>
          <w:rFonts w:asciiTheme="minorHAnsi" w:hAnsiTheme="minorHAnsi"/>
        </w:rPr>
        <w:t>The IGSG will identify any policy associated resource implications incurred by the implementation of the Information Governance improvement plan.  Business cases will be developed to deliver specific initiatives of projects (if necessary).</w:t>
      </w:r>
    </w:p>
    <w:p w14:paraId="550BBCF3" w14:textId="77777777" w:rsidR="001E7160" w:rsidRDefault="001E7160" w:rsidP="008233ED">
      <w:pPr>
        <w:pStyle w:val="BodyTextIndent"/>
        <w:spacing w:after="240"/>
        <w:ind w:left="0"/>
        <w:jc w:val="both"/>
        <w:rPr>
          <w:rFonts w:asciiTheme="minorHAnsi" w:hAnsiTheme="minorHAnsi" w:cs="Arial"/>
          <w:sz w:val="24"/>
          <w:szCs w:val="24"/>
          <w:u w:val="single"/>
        </w:rPr>
      </w:pPr>
    </w:p>
    <w:p w14:paraId="3E5C9E21" w14:textId="77777777" w:rsidR="008233ED" w:rsidRPr="00F41E86" w:rsidRDefault="008233ED" w:rsidP="008233ED">
      <w:pPr>
        <w:pStyle w:val="BodyTextIndent"/>
        <w:spacing w:after="240"/>
        <w:ind w:left="0"/>
        <w:jc w:val="both"/>
        <w:rPr>
          <w:rFonts w:asciiTheme="minorHAnsi" w:hAnsiTheme="minorHAnsi" w:cs="Arial"/>
          <w:sz w:val="24"/>
          <w:szCs w:val="24"/>
          <w:u w:val="single"/>
        </w:rPr>
      </w:pPr>
      <w:r w:rsidRPr="00F41E86">
        <w:rPr>
          <w:rFonts w:asciiTheme="minorHAnsi" w:hAnsiTheme="minorHAnsi" w:cs="Arial"/>
          <w:sz w:val="24"/>
          <w:szCs w:val="24"/>
          <w:u w:val="single"/>
        </w:rPr>
        <w:t>Incident Reporting &amp; Management</w:t>
      </w:r>
    </w:p>
    <w:p w14:paraId="022B2864" w14:textId="77777777" w:rsidR="008233ED" w:rsidRPr="00F41E86" w:rsidRDefault="008233ED" w:rsidP="008233ED">
      <w:pPr>
        <w:pStyle w:val="BodyTextIndent"/>
        <w:spacing w:after="240"/>
        <w:ind w:left="0"/>
        <w:jc w:val="both"/>
        <w:rPr>
          <w:rFonts w:asciiTheme="minorHAnsi" w:hAnsiTheme="minorHAnsi" w:cs="Arial"/>
          <w:b/>
          <w:sz w:val="24"/>
          <w:szCs w:val="24"/>
        </w:rPr>
      </w:pPr>
      <w:r w:rsidRPr="00F41E86">
        <w:rPr>
          <w:rFonts w:asciiTheme="minorHAnsi" w:hAnsiTheme="minorHAnsi" w:cs="Arial"/>
          <w:sz w:val="24"/>
          <w:szCs w:val="24"/>
        </w:rPr>
        <w:t>Incidents must be reported and managed through established processes. Significant issues will be subject to full investigation and reporting action. Incidents relating to personal information will be reported to the Caldicott Guardian whilst those of a more corporate nature will be reported to the SIRO.</w:t>
      </w:r>
    </w:p>
    <w:p w14:paraId="4CB933FB" w14:textId="77777777" w:rsidR="008233ED" w:rsidRPr="00F41E86" w:rsidRDefault="001E7160" w:rsidP="008233ED">
      <w:pPr>
        <w:autoSpaceDE w:val="0"/>
        <w:autoSpaceDN w:val="0"/>
        <w:adjustRightInd w:val="0"/>
        <w:jc w:val="both"/>
        <w:rPr>
          <w:rFonts w:asciiTheme="minorHAnsi" w:hAnsiTheme="minorHAnsi"/>
        </w:rPr>
      </w:pPr>
      <w:r w:rsidRPr="001E7160">
        <w:rPr>
          <w:rFonts w:asciiTheme="minorHAnsi" w:hAnsiTheme="minorHAnsi"/>
        </w:rPr>
        <w:t xml:space="preserve">Southfield Way Surgery </w:t>
      </w:r>
      <w:r w:rsidR="008233ED" w:rsidRPr="00F41E86">
        <w:rPr>
          <w:rFonts w:asciiTheme="minorHAnsi" w:hAnsiTheme="minorHAnsi"/>
        </w:rPr>
        <w:t xml:space="preserve">will put in place suitable mechanisms to ensure staff identify and manage information risks in line with existing risk management policy and processes. </w:t>
      </w:r>
    </w:p>
    <w:p w14:paraId="780C121A" w14:textId="77777777" w:rsidR="008233ED" w:rsidRPr="00F41E86" w:rsidRDefault="008233ED" w:rsidP="008233ED">
      <w:pPr>
        <w:autoSpaceDE w:val="0"/>
        <w:autoSpaceDN w:val="0"/>
        <w:adjustRightInd w:val="0"/>
        <w:jc w:val="both"/>
        <w:rPr>
          <w:rFonts w:asciiTheme="minorHAnsi" w:hAnsiTheme="minorHAnsi"/>
        </w:rPr>
      </w:pPr>
    </w:p>
    <w:p w14:paraId="021F7233" w14:textId="77777777" w:rsidR="008233ED" w:rsidRPr="00F41E86" w:rsidRDefault="008233ED" w:rsidP="008233ED">
      <w:pPr>
        <w:pStyle w:val="BodyTextIndent"/>
        <w:spacing w:after="240"/>
        <w:ind w:left="0"/>
        <w:jc w:val="both"/>
        <w:rPr>
          <w:rFonts w:asciiTheme="minorHAnsi" w:hAnsiTheme="minorHAnsi" w:cs="Arial"/>
          <w:sz w:val="24"/>
          <w:szCs w:val="24"/>
        </w:rPr>
      </w:pPr>
      <w:r w:rsidRPr="00F41E86">
        <w:rPr>
          <w:rFonts w:asciiTheme="minorHAnsi" w:hAnsiTheme="minorHAnsi" w:cs="Arial"/>
          <w:sz w:val="24"/>
          <w:szCs w:val="24"/>
        </w:rPr>
        <w:t xml:space="preserve">All information governance incidents must be reported as soon as they are detected in accordance with </w:t>
      </w:r>
      <w:r>
        <w:rPr>
          <w:rFonts w:asciiTheme="minorHAnsi" w:hAnsiTheme="minorHAnsi" w:cs="Arial"/>
          <w:sz w:val="24"/>
          <w:szCs w:val="24"/>
        </w:rPr>
        <w:t>the practice</w:t>
      </w:r>
      <w:r w:rsidRPr="00F41E86">
        <w:rPr>
          <w:rFonts w:asciiTheme="minorHAnsi" w:hAnsiTheme="minorHAnsi" w:cs="Arial"/>
          <w:sz w:val="24"/>
          <w:szCs w:val="24"/>
        </w:rPr>
        <w:t>’s Incident Reporting and Management procedure.</w:t>
      </w:r>
    </w:p>
    <w:p w14:paraId="0B6CC0A8" w14:textId="77777777" w:rsidR="008233ED" w:rsidRPr="00F41E86" w:rsidRDefault="008233ED" w:rsidP="008233ED">
      <w:pPr>
        <w:pStyle w:val="BodyTextIndent"/>
        <w:spacing w:after="240"/>
        <w:ind w:left="0"/>
        <w:jc w:val="both"/>
        <w:rPr>
          <w:rFonts w:asciiTheme="minorHAnsi" w:hAnsiTheme="minorHAnsi" w:cs="Arial"/>
          <w:sz w:val="24"/>
          <w:szCs w:val="24"/>
          <w:u w:val="single"/>
        </w:rPr>
      </w:pPr>
      <w:r w:rsidRPr="00F41E86">
        <w:rPr>
          <w:rFonts w:asciiTheme="minorHAnsi" w:hAnsiTheme="minorHAnsi" w:cs="Arial"/>
          <w:sz w:val="24"/>
          <w:szCs w:val="24"/>
          <w:u w:val="single"/>
        </w:rPr>
        <w:t>Information Security</w:t>
      </w:r>
    </w:p>
    <w:p w14:paraId="6627B45D" w14:textId="77777777" w:rsidR="008233ED" w:rsidRPr="00F41E86" w:rsidRDefault="008233ED" w:rsidP="008233ED">
      <w:pPr>
        <w:pStyle w:val="BodyTextIndent"/>
        <w:spacing w:after="240"/>
        <w:ind w:left="0"/>
        <w:jc w:val="both"/>
        <w:rPr>
          <w:rFonts w:asciiTheme="minorHAnsi" w:hAnsiTheme="minorHAnsi" w:cs="Arial"/>
          <w:sz w:val="24"/>
          <w:szCs w:val="24"/>
        </w:rPr>
      </w:pPr>
      <w:r w:rsidRPr="00F41E86">
        <w:rPr>
          <w:rFonts w:asciiTheme="minorHAnsi" w:hAnsiTheme="minorHAnsi" w:cs="Arial"/>
          <w:sz w:val="24"/>
          <w:szCs w:val="24"/>
        </w:rPr>
        <w:t>With the increasing use of electronic data and ways of working which rely on the use of electronic information and communication systems to deliver services, there is a need for professional advice and guidance on their use as well as the need to ensure that they are maintained and operated to the required standards in a safe and secure environment.</w:t>
      </w:r>
    </w:p>
    <w:p w14:paraId="1C3F41A0" w14:textId="77777777" w:rsidR="001E7160" w:rsidRDefault="001E7160" w:rsidP="008233ED">
      <w:pPr>
        <w:pStyle w:val="BodyTextIndent"/>
        <w:spacing w:after="240"/>
        <w:ind w:left="0"/>
        <w:jc w:val="both"/>
        <w:rPr>
          <w:rFonts w:asciiTheme="minorHAnsi" w:hAnsiTheme="minorHAnsi" w:cs="Arial"/>
          <w:sz w:val="24"/>
          <w:szCs w:val="24"/>
          <w:u w:val="single"/>
        </w:rPr>
      </w:pPr>
    </w:p>
    <w:p w14:paraId="41C54641" w14:textId="77777777" w:rsidR="008233ED" w:rsidRPr="00F41E86" w:rsidRDefault="008233ED" w:rsidP="008233ED">
      <w:pPr>
        <w:pStyle w:val="BodyTextIndent"/>
        <w:spacing w:after="240"/>
        <w:ind w:left="0"/>
        <w:jc w:val="both"/>
        <w:rPr>
          <w:rFonts w:asciiTheme="minorHAnsi" w:hAnsiTheme="minorHAnsi" w:cs="Arial"/>
          <w:sz w:val="24"/>
          <w:szCs w:val="24"/>
          <w:u w:val="single"/>
        </w:rPr>
      </w:pPr>
      <w:r w:rsidRPr="00F41E86">
        <w:rPr>
          <w:rFonts w:asciiTheme="minorHAnsi" w:hAnsiTheme="minorHAnsi" w:cs="Arial"/>
          <w:sz w:val="24"/>
          <w:szCs w:val="24"/>
          <w:u w:val="single"/>
        </w:rPr>
        <w:lastRenderedPageBreak/>
        <w:t>Risk Management</w:t>
      </w:r>
    </w:p>
    <w:p w14:paraId="48250F1E" w14:textId="77777777" w:rsidR="008233ED" w:rsidRPr="00F41E86" w:rsidRDefault="008233ED" w:rsidP="008233ED">
      <w:pPr>
        <w:pStyle w:val="Default"/>
        <w:jc w:val="both"/>
        <w:rPr>
          <w:rFonts w:asciiTheme="minorHAnsi" w:hAnsiTheme="minorHAnsi" w:cs="Arial"/>
        </w:rPr>
      </w:pPr>
      <w:r w:rsidRPr="00F41E86">
        <w:rPr>
          <w:rFonts w:asciiTheme="minorHAnsi" w:hAnsiTheme="minorHAnsi" w:cs="Arial"/>
        </w:rPr>
        <w:t xml:space="preserve">The ability to apply good risk management principles to IG is fundamental and </w:t>
      </w:r>
      <w:r>
        <w:rPr>
          <w:rFonts w:asciiTheme="minorHAnsi" w:hAnsiTheme="minorHAnsi" w:cs="Arial"/>
        </w:rPr>
        <w:t>the practice</w:t>
      </w:r>
      <w:r w:rsidRPr="00F41E86">
        <w:rPr>
          <w:rFonts w:asciiTheme="minorHAnsi" w:hAnsiTheme="minorHAnsi" w:cs="Arial"/>
        </w:rPr>
        <w:t xml:space="preserve"> will apply them through organisational policies. </w:t>
      </w:r>
    </w:p>
    <w:p w14:paraId="50C1D421" w14:textId="77777777" w:rsidR="008233ED" w:rsidRPr="00F41E86" w:rsidRDefault="008233ED" w:rsidP="008233ED">
      <w:pPr>
        <w:pStyle w:val="Default"/>
        <w:jc w:val="both"/>
        <w:rPr>
          <w:rFonts w:asciiTheme="minorHAnsi" w:hAnsiTheme="minorHAnsi" w:cs="Arial"/>
        </w:rPr>
      </w:pPr>
    </w:p>
    <w:p w14:paraId="36F3D4D9" w14:textId="77777777" w:rsidR="008233ED" w:rsidRPr="00F41E86" w:rsidRDefault="008233ED" w:rsidP="008233ED">
      <w:pPr>
        <w:pStyle w:val="Default"/>
        <w:jc w:val="both"/>
        <w:rPr>
          <w:rFonts w:asciiTheme="minorHAnsi" w:hAnsiTheme="minorHAnsi" w:cs="Arial"/>
          <w:b/>
        </w:rPr>
      </w:pPr>
      <w:r w:rsidRPr="00F41E86">
        <w:rPr>
          <w:rFonts w:asciiTheme="minorHAnsi" w:hAnsiTheme="minorHAnsi" w:cs="Arial"/>
        </w:rPr>
        <w:t>Risk assessment will also be included as part of the Information Asset Owners role.  Any information flows from or in to identified information assets will be risk assessed and the results reported to the PRACTICE SIRO for risk mitigation, acceptance or transfer.</w:t>
      </w:r>
    </w:p>
    <w:p w14:paraId="43396106" w14:textId="77777777" w:rsidR="001E7160" w:rsidRDefault="001E7160" w:rsidP="008233ED">
      <w:pPr>
        <w:pStyle w:val="BodyTextIndent"/>
        <w:spacing w:after="240"/>
        <w:ind w:left="0"/>
        <w:jc w:val="both"/>
        <w:rPr>
          <w:rFonts w:asciiTheme="minorHAnsi" w:hAnsiTheme="minorHAnsi" w:cs="Arial"/>
          <w:sz w:val="24"/>
          <w:szCs w:val="24"/>
          <w:u w:val="single"/>
        </w:rPr>
      </w:pPr>
    </w:p>
    <w:p w14:paraId="0B4BF501" w14:textId="77777777" w:rsidR="008233ED" w:rsidRPr="00F41E86" w:rsidRDefault="008233ED" w:rsidP="008233ED">
      <w:pPr>
        <w:pStyle w:val="BodyTextIndent"/>
        <w:spacing w:after="240"/>
        <w:ind w:left="0"/>
        <w:jc w:val="both"/>
        <w:rPr>
          <w:rFonts w:asciiTheme="minorHAnsi" w:hAnsiTheme="minorHAnsi" w:cs="Arial"/>
          <w:sz w:val="24"/>
          <w:szCs w:val="24"/>
          <w:u w:val="single"/>
        </w:rPr>
      </w:pPr>
      <w:r w:rsidRPr="00F41E86">
        <w:rPr>
          <w:rFonts w:asciiTheme="minorHAnsi" w:hAnsiTheme="minorHAnsi" w:cs="Arial"/>
          <w:sz w:val="24"/>
          <w:szCs w:val="24"/>
          <w:u w:val="single"/>
        </w:rPr>
        <w:t>Legal Compliance</w:t>
      </w:r>
    </w:p>
    <w:p w14:paraId="7C02E853" w14:textId="77777777" w:rsidR="008233ED" w:rsidRPr="00F41E86" w:rsidRDefault="008233ED" w:rsidP="008233ED">
      <w:pPr>
        <w:pStyle w:val="BodyTextIndent"/>
        <w:spacing w:after="240"/>
        <w:ind w:left="0"/>
        <w:jc w:val="both"/>
        <w:rPr>
          <w:rFonts w:asciiTheme="minorHAnsi" w:hAnsiTheme="minorHAnsi" w:cs="Arial"/>
          <w:sz w:val="24"/>
          <w:szCs w:val="24"/>
        </w:rPr>
      </w:pPr>
      <w:r w:rsidRPr="00F41E86">
        <w:rPr>
          <w:rFonts w:asciiTheme="minorHAnsi" w:hAnsiTheme="minorHAnsi" w:cs="Arial"/>
          <w:sz w:val="24"/>
          <w:szCs w:val="24"/>
        </w:rPr>
        <w:t>The Data Protection legislation (GDPR and DPA1998/2018) is the most fundamental piece of legislation that underpins Information Governance. The practice is registered with the Information Commissioners Office and will fully comply with all legal requirements of the law. A process will be adopted to ensure that a review of all of new systems is carried out and where requirements such as the need for Privacy Impact Assessments (PIA) are highlighted these will be completed.  This will be included in the IG service specification.</w:t>
      </w:r>
    </w:p>
    <w:p w14:paraId="1697A480" w14:textId="77777777" w:rsidR="008233ED" w:rsidRPr="00F41E86" w:rsidRDefault="008233ED" w:rsidP="008233ED">
      <w:pPr>
        <w:pStyle w:val="BodyTextIndent"/>
        <w:spacing w:after="240"/>
        <w:ind w:left="0"/>
        <w:jc w:val="both"/>
        <w:rPr>
          <w:rFonts w:asciiTheme="minorHAnsi" w:hAnsiTheme="minorHAnsi" w:cs="Arial"/>
          <w:sz w:val="24"/>
          <w:szCs w:val="24"/>
          <w:u w:val="single"/>
        </w:rPr>
      </w:pPr>
      <w:r w:rsidRPr="00F41E86">
        <w:rPr>
          <w:rFonts w:asciiTheme="minorHAnsi" w:hAnsiTheme="minorHAnsi" w:cs="Arial"/>
          <w:sz w:val="24"/>
          <w:szCs w:val="24"/>
          <w:u w:val="single"/>
        </w:rPr>
        <w:t>Training and Staff Support</w:t>
      </w:r>
    </w:p>
    <w:p w14:paraId="528E8F27" w14:textId="77777777" w:rsidR="008233ED" w:rsidRPr="00F41E86" w:rsidRDefault="008233ED" w:rsidP="008233ED">
      <w:pPr>
        <w:autoSpaceDE w:val="0"/>
        <w:autoSpaceDN w:val="0"/>
        <w:adjustRightInd w:val="0"/>
        <w:jc w:val="both"/>
        <w:rPr>
          <w:rFonts w:asciiTheme="minorHAnsi" w:hAnsiTheme="minorHAnsi"/>
        </w:rPr>
      </w:pPr>
      <w:r w:rsidRPr="00F41E86">
        <w:rPr>
          <w:rFonts w:asciiTheme="minorHAnsi" w:hAnsiTheme="minorHAnsi"/>
        </w:rPr>
        <w:t xml:space="preserve">Fundamental to the success of delivering the Information Governance Policy is developing an Information Governance culture within </w:t>
      </w:r>
      <w:r w:rsidR="001E7160" w:rsidRPr="001E7160">
        <w:rPr>
          <w:rFonts w:asciiTheme="minorHAnsi" w:hAnsiTheme="minorHAnsi"/>
        </w:rPr>
        <w:t>Southfield Way Surgery</w:t>
      </w:r>
      <w:r>
        <w:rPr>
          <w:rFonts w:asciiTheme="minorHAnsi" w:hAnsiTheme="minorHAnsi"/>
        </w:rPr>
        <w:t>.</w:t>
      </w:r>
      <w:r w:rsidRPr="00F41E86">
        <w:rPr>
          <w:rFonts w:asciiTheme="minorHAnsi" w:hAnsiTheme="minorHAnsi"/>
        </w:rPr>
        <w:t xml:space="preserve"> Awareness and training will be provided to all staff that utilise information in their day-to-day work to promote this culture. In order to achieve this, the IG</w:t>
      </w:r>
      <w:r w:rsidR="001E7160">
        <w:rPr>
          <w:rFonts w:asciiTheme="minorHAnsi" w:hAnsiTheme="minorHAnsi"/>
        </w:rPr>
        <w:t xml:space="preserve"> Lead</w:t>
      </w:r>
      <w:r w:rsidRPr="00F41E86">
        <w:rPr>
          <w:rFonts w:asciiTheme="minorHAnsi" w:hAnsiTheme="minorHAnsi"/>
        </w:rPr>
        <w:t xml:space="preserve"> will ensure:</w:t>
      </w:r>
    </w:p>
    <w:p w14:paraId="42169E0A" w14:textId="77777777" w:rsidR="008233ED" w:rsidRPr="00F41E86" w:rsidRDefault="008233ED" w:rsidP="008233ED">
      <w:pPr>
        <w:autoSpaceDE w:val="0"/>
        <w:autoSpaceDN w:val="0"/>
        <w:adjustRightInd w:val="0"/>
        <w:jc w:val="both"/>
        <w:rPr>
          <w:rFonts w:asciiTheme="minorHAnsi" w:hAnsiTheme="minorHAnsi"/>
        </w:rPr>
      </w:pPr>
    </w:p>
    <w:p w14:paraId="78B9BB6C" w14:textId="77777777" w:rsidR="008233ED" w:rsidRPr="00F41E86" w:rsidRDefault="008233ED" w:rsidP="008233ED">
      <w:pPr>
        <w:pStyle w:val="Default"/>
        <w:numPr>
          <w:ilvl w:val="0"/>
          <w:numId w:val="23"/>
        </w:numPr>
        <w:jc w:val="both"/>
        <w:rPr>
          <w:rFonts w:asciiTheme="minorHAnsi" w:hAnsiTheme="minorHAnsi" w:cs="Arial"/>
        </w:rPr>
      </w:pPr>
      <w:r w:rsidRPr="00F41E86">
        <w:rPr>
          <w:rFonts w:asciiTheme="minorHAnsi" w:hAnsiTheme="minorHAnsi" w:cs="Arial"/>
        </w:rPr>
        <w:t xml:space="preserve">All staff complete an Induction session when they first start employment which will include Information Governance.  In subsequent years all staff are required to complete further Information Governance training </w:t>
      </w:r>
      <w:r w:rsidR="001E7160">
        <w:rPr>
          <w:rFonts w:asciiTheme="minorHAnsi" w:hAnsiTheme="minorHAnsi" w:cs="Arial"/>
        </w:rPr>
        <w:t>on Bluestream and Data Awareness Training as per the DS&amp;P Toolkit.</w:t>
      </w:r>
      <w:r w:rsidRPr="00F41E86">
        <w:rPr>
          <w:rFonts w:asciiTheme="minorHAnsi" w:hAnsiTheme="minorHAnsi" w:cs="Arial"/>
        </w:rPr>
        <w:t xml:space="preserve"> </w:t>
      </w:r>
    </w:p>
    <w:p w14:paraId="08581D9E" w14:textId="77777777" w:rsidR="008233ED" w:rsidRPr="00F41E86" w:rsidRDefault="008233ED" w:rsidP="008233ED">
      <w:pPr>
        <w:pStyle w:val="Default"/>
        <w:numPr>
          <w:ilvl w:val="0"/>
          <w:numId w:val="23"/>
        </w:numPr>
        <w:jc w:val="both"/>
        <w:rPr>
          <w:rFonts w:asciiTheme="minorHAnsi" w:hAnsiTheme="minorHAnsi" w:cs="Arial"/>
        </w:rPr>
      </w:pPr>
      <w:r w:rsidRPr="00F41E86">
        <w:rPr>
          <w:rFonts w:asciiTheme="minorHAnsi" w:hAnsiTheme="minorHAnsi" w:cs="Arial"/>
        </w:rPr>
        <w:t>all staff undertake an annual training needs analysis and any recommendations identified will be complied with by staff;</w:t>
      </w:r>
    </w:p>
    <w:p w14:paraId="3774E1C8" w14:textId="77777777" w:rsidR="008233ED" w:rsidRPr="00F41E86" w:rsidRDefault="001E7160" w:rsidP="008233ED">
      <w:pPr>
        <w:pStyle w:val="Default"/>
        <w:numPr>
          <w:ilvl w:val="0"/>
          <w:numId w:val="23"/>
        </w:numPr>
        <w:jc w:val="both"/>
        <w:rPr>
          <w:rFonts w:asciiTheme="minorHAnsi" w:hAnsiTheme="minorHAnsi" w:cs="Arial"/>
        </w:rPr>
      </w:pPr>
      <w:r>
        <w:rPr>
          <w:rFonts w:asciiTheme="minorHAnsi" w:hAnsiTheme="minorHAnsi" w:cs="Arial"/>
        </w:rPr>
        <w:t>A</w:t>
      </w:r>
      <w:r w:rsidR="008233ED" w:rsidRPr="00F41E86">
        <w:rPr>
          <w:rFonts w:asciiTheme="minorHAnsi" w:hAnsiTheme="minorHAnsi" w:cs="Arial"/>
        </w:rPr>
        <w:t xml:space="preserve">ll staff </w:t>
      </w:r>
      <w:r>
        <w:rPr>
          <w:rFonts w:asciiTheme="minorHAnsi" w:hAnsiTheme="minorHAnsi" w:cs="Arial"/>
        </w:rPr>
        <w:t xml:space="preserve">are </w:t>
      </w:r>
      <w:r w:rsidR="008233ED" w:rsidRPr="00F41E86">
        <w:rPr>
          <w:rFonts w:asciiTheme="minorHAnsi" w:hAnsiTheme="minorHAnsi" w:cs="Arial"/>
        </w:rPr>
        <w:t>informed of compliance and standards set to support this policy via staff bulletins and where necessary Information Governance specific messages;</w:t>
      </w:r>
    </w:p>
    <w:p w14:paraId="1A069604" w14:textId="77777777" w:rsidR="008233ED" w:rsidRPr="00F41E86" w:rsidRDefault="008233ED" w:rsidP="008233ED">
      <w:pPr>
        <w:pStyle w:val="Default"/>
        <w:numPr>
          <w:ilvl w:val="0"/>
          <w:numId w:val="23"/>
        </w:numPr>
        <w:jc w:val="both"/>
        <w:rPr>
          <w:rFonts w:asciiTheme="minorHAnsi" w:hAnsiTheme="minorHAnsi" w:cs="Arial"/>
        </w:rPr>
      </w:pPr>
      <w:r w:rsidRPr="00F41E86">
        <w:rPr>
          <w:rFonts w:asciiTheme="minorHAnsi" w:hAnsiTheme="minorHAnsi" w:cs="Arial"/>
        </w:rPr>
        <w:t>implement staff surveys to assess levels of understanding and ensure staff are fully aware of their responsibilities;</w:t>
      </w:r>
    </w:p>
    <w:p w14:paraId="09B5E190" w14:textId="77777777" w:rsidR="008233ED" w:rsidRPr="00F41E86" w:rsidRDefault="008233ED" w:rsidP="008233ED">
      <w:pPr>
        <w:pStyle w:val="Default"/>
        <w:numPr>
          <w:ilvl w:val="0"/>
          <w:numId w:val="23"/>
        </w:numPr>
        <w:spacing w:after="200"/>
        <w:jc w:val="both"/>
        <w:rPr>
          <w:rFonts w:asciiTheme="minorHAnsi" w:hAnsiTheme="minorHAnsi" w:cs="Arial"/>
        </w:rPr>
      </w:pPr>
      <w:r w:rsidRPr="00F41E86">
        <w:rPr>
          <w:rFonts w:asciiTheme="minorHAnsi" w:hAnsiTheme="minorHAnsi" w:cs="Arial"/>
        </w:rPr>
        <w:t xml:space="preserve">provide staff with the opportunity to develop more detailed knowledge and appreciation of the role of information governance through: </w:t>
      </w:r>
    </w:p>
    <w:p w14:paraId="219AF714" w14:textId="77777777" w:rsidR="008233ED" w:rsidRPr="00F41E86" w:rsidRDefault="008233ED" w:rsidP="008233ED">
      <w:pPr>
        <w:numPr>
          <w:ilvl w:val="0"/>
          <w:numId w:val="14"/>
        </w:numPr>
        <w:autoSpaceDE w:val="0"/>
        <w:autoSpaceDN w:val="0"/>
        <w:adjustRightInd w:val="0"/>
        <w:jc w:val="both"/>
        <w:rPr>
          <w:rFonts w:asciiTheme="minorHAnsi" w:hAnsiTheme="minorHAnsi"/>
        </w:rPr>
      </w:pPr>
      <w:r w:rsidRPr="00F41E86">
        <w:rPr>
          <w:rFonts w:asciiTheme="minorHAnsi" w:hAnsiTheme="minorHAnsi"/>
        </w:rPr>
        <w:t>IG Policies and this policy;</w:t>
      </w:r>
    </w:p>
    <w:p w14:paraId="510582B8" w14:textId="77777777" w:rsidR="008233ED" w:rsidRPr="00F41E86" w:rsidRDefault="008233ED" w:rsidP="008233ED">
      <w:pPr>
        <w:numPr>
          <w:ilvl w:val="0"/>
          <w:numId w:val="14"/>
        </w:numPr>
        <w:autoSpaceDE w:val="0"/>
        <w:autoSpaceDN w:val="0"/>
        <w:adjustRightInd w:val="0"/>
        <w:jc w:val="both"/>
        <w:rPr>
          <w:rFonts w:asciiTheme="minorHAnsi" w:hAnsiTheme="minorHAnsi"/>
        </w:rPr>
      </w:pPr>
      <w:r w:rsidRPr="00F41E86">
        <w:rPr>
          <w:rFonts w:asciiTheme="minorHAnsi" w:hAnsiTheme="minorHAnsi"/>
        </w:rPr>
        <w:t>Induction, mandatory and refresher training;</w:t>
      </w:r>
    </w:p>
    <w:p w14:paraId="5B74BF7C" w14:textId="77777777" w:rsidR="008233ED" w:rsidRPr="00F41E86" w:rsidRDefault="008233ED" w:rsidP="008233ED">
      <w:pPr>
        <w:numPr>
          <w:ilvl w:val="0"/>
          <w:numId w:val="14"/>
        </w:numPr>
        <w:autoSpaceDE w:val="0"/>
        <w:autoSpaceDN w:val="0"/>
        <w:adjustRightInd w:val="0"/>
        <w:jc w:val="both"/>
        <w:rPr>
          <w:rFonts w:asciiTheme="minorHAnsi" w:hAnsiTheme="minorHAnsi"/>
        </w:rPr>
      </w:pPr>
      <w:r w:rsidRPr="00F41E86">
        <w:rPr>
          <w:rFonts w:asciiTheme="minorHAnsi" w:hAnsiTheme="minorHAnsi"/>
        </w:rPr>
        <w:t>Line manager support;</w:t>
      </w:r>
    </w:p>
    <w:p w14:paraId="28E2CE71" w14:textId="77777777" w:rsidR="008233ED" w:rsidRPr="00F41E86" w:rsidRDefault="008233ED" w:rsidP="008233ED">
      <w:pPr>
        <w:numPr>
          <w:ilvl w:val="0"/>
          <w:numId w:val="14"/>
        </w:numPr>
        <w:autoSpaceDE w:val="0"/>
        <w:autoSpaceDN w:val="0"/>
        <w:adjustRightInd w:val="0"/>
        <w:jc w:val="both"/>
        <w:rPr>
          <w:rFonts w:asciiTheme="minorHAnsi" w:hAnsiTheme="minorHAnsi"/>
        </w:rPr>
      </w:pPr>
      <w:r w:rsidRPr="00F41E86">
        <w:rPr>
          <w:rFonts w:asciiTheme="minorHAnsi" w:hAnsiTheme="minorHAnsi"/>
        </w:rPr>
        <w:t>Specific training courses for specialist roles.</w:t>
      </w:r>
    </w:p>
    <w:p w14:paraId="20168917" w14:textId="77777777" w:rsidR="001E7160" w:rsidRDefault="001E7160" w:rsidP="008233ED">
      <w:pPr>
        <w:pStyle w:val="BodyTextIndent"/>
        <w:spacing w:after="240"/>
        <w:ind w:left="0"/>
        <w:jc w:val="both"/>
        <w:rPr>
          <w:rFonts w:asciiTheme="minorHAnsi" w:hAnsiTheme="minorHAnsi" w:cs="Arial"/>
          <w:b/>
          <w:sz w:val="24"/>
          <w:szCs w:val="24"/>
        </w:rPr>
      </w:pPr>
    </w:p>
    <w:p w14:paraId="1B95E823" w14:textId="77777777" w:rsidR="008233ED" w:rsidRPr="001E7160" w:rsidRDefault="008233ED" w:rsidP="008233ED">
      <w:pPr>
        <w:pStyle w:val="BodyTextIndent"/>
        <w:spacing w:after="240"/>
        <w:ind w:left="0"/>
        <w:jc w:val="both"/>
        <w:rPr>
          <w:rFonts w:asciiTheme="minorHAnsi" w:hAnsiTheme="minorHAnsi" w:cs="Arial"/>
          <w:b/>
          <w:sz w:val="24"/>
          <w:szCs w:val="24"/>
          <w:u w:val="single"/>
        </w:rPr>
      </w:pPr>
      <w:r w:rsidRPr="001E7160">
        <w:rPr>
          <w:rFonts w:asciiTheme="minorHAnsi" w:hAnsiTheme="minorHAnsi" w:cs="Arial"/>
          <w:b/>
          <w:sz w:val="24"/>
          <w:szCs w:val="24"/>
          <w:u w:val="single"/>
        </w:rPr>
        <w:t>Implementation &amp; Dissemination</w:t>
      </w:r>
    </w:p>
    <w:p w14:paraId="60F743B4" w14:textId="77777777" w:rsidR="008233ED" w:rsidRPr="00F41E86" w:rsidRDefault="008233ED" w:rsidP="008233ED">
      <w:pPr>
        <w:autoSpaceDE w:val="0"/>
        <w:autoSpaceDN w:val="0"/>
        <w:adjustRightInd w:val="0"/>
        <w:jc w:val="both"/>
        <w:rPr>
          <w:rFonts w:asciiTheme="minorHAnsi" w:hAnsiTheme="minorHAnsi"/>
          <w:b/>
        </w:rPr>
      </w:pPr>
      <w:r w:rsidRPr="00F41E86">
        <w:rPr>
          <w:rFonts w:asciiTheme="minorHAnsi" w:hAnsiTheme="minorHAnsi"/>
        </w:rPr>
        <w:t>This policy once approved by the Partners will be shared with all members of staff</w:t>
      </w:r>
      <w:r w:rsidR="001E7160">
        <w:rPr>
          <w:rFonts w:asciiTheme="minorHAnsi" w:hAnsiTheme="minorHAnsi"/>
        </w:rPr>
        <w:t xml:space="preserve"> via Docman</w:t>
      </w:r>
      <w:r w:rsidRPr="00F41E86">
        <w:rPr>
          <w:rFonts w:asciiTheme="minorHAnsi" w:hAnsiTheme="minorHAnsi"/>
        </w:rPr>
        <w:t xml:space="preserve">.  </w:t>
      </w:r>
    </w:p>
    <w:p w14:paraId="08ED4B0D" w14:textId="77777777" w:rsidR="008233ED" w:rsidRPr="00F41E86" w:rsidRDefault="008233ED" w:rsidP="008233ED">
      <w:pPr>
        <w:autoSpaceDE w:val="0"/>
        <w:autoSpaceDN w:val="0"/>
        <w:adjustRightInd w:val="0"/>
        <w:jc w:val="both"/>
        <w:rPr>
          <w:rFonts w:asciiTheme="minorHAnsi" w:hAnsiTheme="minorHAnsi"/>
        </w:rPr>
      </w:pPr>
      <w:r w:rsidRPr="00F41E86">
        <w:rPr>
          <w:rFonts w:asciiTheme="minorHAnsi" w:hAnsiTheme="minorHAnsi"/>
        </w:rPr>
        <w:t xml:space="preserve">The implementation of this IG policy and IG Toolkit improvement plan will ensure that information is more effectively managed in </w:t>
      </w:r>
      <w:r w:rsidR="001E7160">
        <w:rPr>
          <w:rFonts w:asciiTheme="minorHAnsi" w:hAnsiTheme="minorHAnsi"/>
        </w:rPr>
        <w:t>Southfield Way Surgery.</w:t>
      </w:r>
      <w:r w:rsidR="001E7160" w:rsidRPr="00F41E86">
        <w:rPr>
          <w:rFonts w:asciiTheme="minorHAnsi" w:hAnsiTheme="minorHAnsi"/>
        </w:rPr>
        <w:t xml:space="preserve"> </w:t>
      </w:r>
      <w:r w:rsidRPr="00F41E86">
        <w:rPr>
          <w:rFonts w:asciiTheme="minorHAnsi" w:hAnsiTheme="minorHAnsi"/>
        </w:rPr>
        <w:t xml:space="preserve">To support this policy, </w:t>
      </w:r>
      <w:r w:rsidR="001E7160">
        <w:rPr>
          <w:rFonts w:asciiTheme="minorHAnsi" w:hAnsiTheme="minorHAnsi"/>
        </w:rPr>
        <w:t>The Practice</w:t>
      </w:r>
      <w:r w:rsidRPr="00F41E86">
        <w:rPr>
          <w:rFonts w:asciiTheme="minorHAnsi" w:hAnsiTheme="minorHAnsi"/>
        </w:rPr>
        <w:t xml:space="preserve"> will implement key IG policies and will ensure that staff abide by these. </w:t>
      </w:r>
    </w:p>
    <w:p w14:paraId="1264F277" w14:textId="77777777" w:rsidR="008233ED" w:rsidRPr="00F41E86" w:rsidRDefault="008233ED" w:rsidP="008233ED">
      <w:pPr>
        <w:autoSpaceDE w:val="0"/>
        <w:autoSpaceDN w:val="0"/>
        <w:adjustRightInd w:val="0"/>
        <w:jc w:val="both"/>
        <w:rPr>
          <w:rFonts w:asciiTheme="minorHAnsi" w:hAnsiTheme="minorHAnsi"/>
        </w:rPr>
      </w:pPr>
    </w:p>
    <w:p w14:paraId="45B6704F" w14:textId="77777777" w:rsidR="008233ED" w:rsidRPr="00F41E86" w:rsidRDefault="008233ED" w:rsidP="008233ED">
      <w:pPr>
        <w:pStyle w:val="BodyTextIndent"/>
        <w:spacing w:after="240"/>
        <w:ind w:left="0"/>
        <w:jc w:val="both"/>
        <w:rPr>
          <w:rFonts w:asciiTheme="minorHAnsi" w:hAnsiTheme="minorHAnsi" w:cs="Arial"/>
          <w:sz w:val="24"/>
          <w:szCs w:val="24"/>
        </w:rPr>
      </w:pPr>
      <w:r w:rsidRPr="00F41E86">
        <w:rPr>
          <w:rFonts w:asciiTheme="minorHAnsi" w:hAnsiTheme="minorHAnsi" w:cs="Arial"/>
          <w:sz w:val="24"/>
          <w:szCs w:val="24"/>
        </w:rPr>
        <w:t>Each year the IG policy will be reviewed, and a revised DS&amp;P Toolkit improvement plan will be developed against the IG Toolkit attainment levels and scores, thus identifying the key areas for a programme of continuous improvement.</w:t>
      </w:r>
    </w:p>
    <w:p w14:paraId="02FF5F91" w14:textId="77777777" w:rsidR="008233ED" w:rsidRPr="001E7160" w:rsidRDefault="008233ED" w:rsidP="008233ED">
      <w:pPr>
        <w:pStyle w:val="BodyTextIndent"/>
        <w:spacing w:after="240"/>
        <w:ind w:left="0"/>
        <w:jc w:val="both"/>
        <w:rPr>
          <w:rFonts w:asciiTheme="minorHAnsi" w:hAnsiTheme="minorHAnsi" w:cs="Arial"/>
          <w:b/>
          <w:sz w:val="24"/>
          <w:szCs w:val="24"/>
          <w:u w:val="single"/>
        </w:rPr>
      </w:pPr>
      <w:r w:rsidRPr="001E7160">
        <w:rPr>
          <w:rFonts w:asciiTheme="minorHAnsi" w:hAnsiTheme="minorHAnsi" w:cs="Arial"/>
          <w:b/>
          <w:sz w:val="24"/>
          <w:szCs w:val="24"/>
          <w:u w:val="single"/>
        </w:rPr>
        <w:lastRenderedPageBreak/>
        <w:t>Policy, Protocol and Procedure Distribution</w:t>
      </w:r>
    </w:p>
    <w:p w14:paraId="1A02017D" w14:textId="77777777" w:rsidR="008233ED" w:rsidRPr="00F41E86" w:rsidRDefault="008233ED" w:rsidP="008233ED">
      <w:pPr>
        <w:autoSpaceDE w:val="0"/>
        <w:autoSpaceDN w:val="0"/>
        <w:adjustRightInd w:val="0"/>
        <w:jc w:val="both"/>
        <w:rPr>
          <w:rFonts w:asciiTheme="minorHAnsi" w:hAnsiTheme="minorHAnsi"/>
          <w:b/>
        </w:rPr>
      </w:pPr>
      <w:r w:rsidRPr="00F41E86">
        <w:rPr>
          <w:rFonts w:asciiTheme="minorHAnsi" w:hAnsiTheme="minorHAnsi"/>
        </w:rPr>
        <w:t>All employee-based policies, protocols and procedures will be made available on the practice risk management system and will be highlighted in staff briefings.  Knowledge of the key details of Information Governance related policies will be tested through the use of the online Information Governance training tool, and the use of staff surveys and/or confidentiality audits to test knowledge in particular areas.</w:t>
      </w:r>
    </w:p>
    <w:p w14:paraId="59FFDAA6" w14:textId="77777777" w:rsidR="008233ED" w:rsidRDefault="008233ED" w:rsidP="008233ED">
      <w:pPr>
        <w:pStyle w:val="BodyTextIndent"/>
        <w:spacing w:after="240"/>
        <w:ind w:left="0"/>
        <w:jc w:val="both"/>
        <w:rPr>
          <w:rFonts w:asciiTheme="minorHAnsi" w:hAnsiTheme="minorHAnsi" w:cs="Arial"/>
          <w:b/>
          <w:sz w:val="24"/>
          <w:szCs w:val="24"/>
        </w:rPr>
      </w:pPr>
    </w:p>
    <w:p w14:paraId="4773F2AA" w14:textId="77777777" w:rsidR="008233ED" w:rsidRPr="001E7160" w:rsidRDefault="008233ED" w:rsidP="008233ED">
      <w:pPr>
        <w:pStyle w:val="BodyTextIndent"/>
        <w:spacing w:after="240"/>
        <w:ind w:left="0"/>
        <w:jc w:val="both"/>
        <w:rPr>
          <w:rFonts w:asciiTheme="minorHAnsi" w:hAnsiTheme="minorHAnsi" w:cs="Arial"/>
          <w:b/>
          <w:sz w:val="24"/>
          <w:szCs w:val="24"/>
          <w:u w:val="single"/>
        </w:rPr>
      </w:pPr>
      <w:r w:rsidRPr="001E7160">
        <w:rPr>
          <w:rFonts w:asciiTheme="minorHAnsi" w:hAnsiTheme="minorHAnsi" w:cs="Arial"/>
          <w:b/>
          <w:sz w:val="24"/>
          <w:szCs w:val="24"/>
          <w:u w:val="single"/>
        </w:rPr>
        <w:t>Monitoring and Review</w:t>
      </w:r>
    </w:p>
    <w:p w14:paraId="46312DDD" w14:textId="77777777" w:rsidR="008233ED" w:rsidRPr="00F41E86" w:rsidRDefault="008233ED" w:rsidP="008233ED">
      <w:pPr>
        <w:autoSpaceDE w:val="0"/>
        <w:autoSpaceDN w:val="0"/>
        <w:adjustRightInd w:val="0"/>
        <w:jc w:val="both"/>
        <w:rPr>
          <w:rFonts w:asciiTheme="minorHAnsi" w:hAnsiTheme="minorHAnsi"/>
        </w:rPr>
      </w:pPr>
      <w:r w:rsidRPr="00F41E86">
        <w:rPr>
          <w:rFonts w:asciiTheme="minorHAnsi" w:hAnsiTheme="minorHAnsi"/>
        </w:rPr>
        <w:t>This policy will be reviewed on the first anniversary following its adoption and subsequently every two years until rescinded or superseded. An earlier review of this document may be undertaken in the event of:</w:t>
      </w:r>
    </w:p>
    <w:p w14:paraId="67B94369" w14:textId="77777777" w:rsidR="008233ED" w:rsidRPr="00F41E86" w:rsidRDefault="008233ED" w:rsidP="008233ED">
      <w:pPr>
        <w:numPr>
          <w:ilvl w:val="0"/>
          <w:numId w:val="15"/>
        </w:numPr>
        <w:autoSpaceDE w:val="0"/>
        <w:autoSpaceDN w:val="0"/>
        <w:adjustRightInd w:val="0"/>
        <w:spacing w:after="66"/>
        <w:jc w:val="both"/>
        <w:rPr>
          <w:rFonts w:asciiTheme="minorHAnsi" w:hAnsiTheme="minorHAnsi"/>
        </w:rPr>
      </w:pPr>
      <w:r w:rsidRPr="00F41E86">
        <w:rPr>
          <w:rFonts w:asciiTheme="minorHAnsi" w:hAnsiTheme="minorHAnsi"/>
        </w:rPr>
        <w:t xml:space="preserve">Legislative or case law changes; </w:t>
      </w:r>
    </w:p>
    <w:p w14:paraId="495C01F7" w14:textId="77777777" w:rsidR="008233ED" w:rsidRPr="00F41E86" w:rsidRDefault="008233ED" w:rsidP="008233ED">
      <w:pPr>
        <w:numPr>
          <w:ilvl w:val="0"/>
          <w:numId w:val="15"/>
        </w:numPr>
        <w:autoSpaceDE w:val="0"/>
        <w:autoSpaceDN w:val="0"/>
        <w:adjustRightInd w:val="0"/>
        <w:spacing w:after="66"/>
        <w:jc w:val="both"/>
        <w:rPr>
          <w:rFonts w:asciiTheme="minorHAnsi" w:hAnsiTheme="minorHAnsi"/>
        </w:rPr>
      </w:pPr>
      <w:r w:rsidRPr="00F41E86">
        <w:rPr>
          <w:rFonts w:asciiTheme="minorHAnsi" w:hAnsiTheme="minorHAnsi"/>
        </w:rPr>
        <w:t xml:space="preserve">Changes or release of good practice or statutory guidance; </w:t>
      </w:r>
    </w:p>
    <w:p w14:paraId="69C42D01" w14:textId="77777777" w:rsidR="008233ED" w:rsidRPr="00F41E86" w:rsidRDefault="008233ED" w:rsidP="008233ED">
      <w:pPr>
        <w:numPr>
          <w:ilvl w:val="0"/>
          <w:numId w:val="15"/>
        </w:numPr>
        <w:autoSpaceDE w:val="0"/>
        <w:autoSpaceDN w:val="0"/>
        <w:adjustRightInd w:val="0"/>
        <w:spacing w:after="66"/>
        <w:jc w:val="both"/>
        <w:rPr>
          <w:rFonts w:asciiTheme="minorHAnsi" w:hAnsiTheme="minorHAnsi"/>
        </w:rPr>
      </w:pPr>
      <w:r w:rsidRPr="00F41E86">
        <w:rPr>
          <w:rFonts w:asciiTheme="minorHAnsi" w:hAnsiTheme="minorHAnsi"/>
        </w:rPr>
        <w:t xml:space="preserve">Identified deficiencies, risks or following significant incidents reported; </w:t>
      </w:r>
    </w:p>
    <w:p w14:paraId="25FF7C1F" w14:textId="77777777" w:rsidR="008233ED" w:rsidRPr="00F41E86" w:rsidRDefault="008233ED" w:rsidP="008233ED">
      <w:pPr>
        <w:numPr>
          <w:ilvl w:val="0"/>
          <w:numId w:val="15"/>
        </w:numPr>
        <w:autoSpaceDE w:val="0"/>
        <w:autoSpaceDN w:val="0"/>
        <w:adjustRightInd w:val="0"/>
        <w:jc w:val="both"/>
        <w:rPr>
          <w:rFonts w:asciiTheme="minorHAnsi" w:hAnsiTheme="minorHAnsi"/>
        </w:rPr>
      </w:pPr>
      <w:r w:rsidRPr="00F41E86">
        <w:rPr>
          <w:rFonts w:asciiTheme="minorHAnsi" w:hAnsiTheme="minorHAnsi"/>
        </w:rPr>
        <w:t xml:space="preserve">Changes to organisational infrastructure. </w:t>
      </w:r>
    </w:p>
    <w:p w14:paraId="5549754C" w14:textId="77777777" w:rsidR="008233ED" w:rsidRPr="00F41E86" w:rsidRDefault="008233ED" w:rsidP="008233ED">
      <w:pPr>
        <w:numPr>
          <w:ilvl w:val="0"/>
          <w:numId w:val="17"/>
        </w:numPr>
        <w:tabs>
          <w:tab w:val="clear" w:pos="1428"/>
          <w:tab w:val="num" w:pos="-2736"/>
        </w:tabs>
        <w:autoSpaceDE w:val="0"/>
        <w:autoSpaceDN w:val="0"/>
        <w:adjustRightInd w:val="0"/>
        <w:spacing w:after="20"/>
        <w:ind w:left="360" w:firstLine="0"/>
        <w:jc w:val="both"/>
        <w:rPr>
          <w:rFonts w:asciiTheme="minorHAnsi" w:hAnsiTheme="minorHAnsi"/>
        </w:rPr>
      </w:pPr>
      <w:r w:rsidRPr="00F41E86">
        <w:rPr>
          <w:rFonts w:asciiTheme="minorHAnsi" w:hAnsiTheme="minorHAnsi"/>
        </w:rPr>
        <w:t xml:space="preserve">New vulnerabilities; </w:t>
      </w:r>
    </w:p>
    <w:p w14:paraId="7E25BBBF" w14:textId="77777777" w:rsidR="008233ED" w:rsidRPr="00F41E86" w:rsidRDefault="008233ED" w:rsidP="008233ED">
      <w:pPr>
        <w:numPr>
          <w:ilvl w:val="0"/>
          <w:numId w:val="17"/>
        </w:numPr>
        <w:tabs>
          <w:tab w:val="clear" w:pos="1428"/>
          <w:tab w:val="num" w:pos="709"/>
          <w:tab w:val="num" w:pos="1134"/>
        </w:tabs>
        <w:ind w:hanging="1002"/>
        <w:jc w:val="both"/>
        <w:rPr>
          <w:rFonts w:asciiTheme="minorHAnsi" w:hAnsiTheme="minorHAnsi"/>
        </w:rPr>
      </w:pPr>
      <w:r w:rsidRPr="00F41E86">
        <w:rPr>
          <w:rFonts w:asciiTheme="minorHAnsi" w:hAnsiTheme="minorHAnsi"/>
        </w:rPr>
        <w:t>Practice change or change in system/technology;</w:t>
      </w:r>
    </w:p>
    <w:p w14:paraId="08A0981C" w14:textId="77777777" w:rsidR="008233ED" w:rsidRPr="00F41E86" w:rsidRDefault="008233ED" w:rsidP="008233ED">
      <w:pPr>
        <w:numPr>
          <w:ilvl w:val="0"/>
          <w:numId w:val="3"/>
        </w:numPr>
        <w:tabs>
          <w:tab w:val="clear" w:pos="0"/>
          <w:tab w:val="num" w:pos="-1548"/>
          <w:tab w:val="num" w:pos="709"/>
        </w:tabs>
        <w:ind w:left="360" w:firstLine="0"/>
        <w:jc w:val="both"/>
        <w:rPr>
          <w:rFonts w:asciiTheme="minorHAnsi" w:hAnsiTheme="minorHAnsi"/>
        </w:rPr>
      </w:pPr>
      <w:r w:rsidRPr="00F41E86">
        <w:rPr>
          <w:rFonts w:asciiTheme="minorHAnsi" w:hAnsiTheme="minorHAnsi"/>
        </w:rPr>
        <w:t>Changing methodology.</w:t>
      </w:r>
    </w:p>
    <w:p w14:paraId="13F81841" w14:textId="77777777" w:rsidR="008233ED" w:rsidRPr="00F41E86" w:rsidRDefault="008233ED" w:rsidP="008233ED">
      <w:pPr>
        <w:autoSpaceDE w:val="0"/>
        <w:autoSpaceDN w:val="0"/>
        <w:adjustRightInd w:val="0"/>
        <w:spacing w:after="20"/>
        <w:ind w:left="1133" w:hanging="425"/>
        <w:rPr>
          <w:rFonts w:asciiTheme="minorHAnsi" w:hAnsiTheme="minorHAnsi"/>
        </w:rPr>
      </w:pPr>
    </w:p>
    <w:p w14:paraId="2FC7444A" w14:textId="77777777" w:rsidR="008233ED" w:rsidRPr="001E7160" w:rsidRDefault="008233ED" w:rsidP="008233ED">
      <w:pPr>
        <w:pStyle w:val="BodyTextIndent"/>
        <w:spacing w:after="240"/>
        <w:ind w:left="0"/>
        <w:jc w:val="both"/>
        <w:rPr>
          <w:rFonts w:asciiTheme="minorHAnsi" w:hAnsiTheme="minorHAnsi" w:cs="Arial"/>
          <w:b/>
          <w:sz w:val="24"/>
          <w:szCs w:val="24"/>
          <w:u w:val="single"/>
        </w:rPr>
      </w:pPr>
      <w:r w:rsidRPr="001E7160">
        <w:rPr>
          <w:rFonts w:asciiTheme="minorHAnsi" w:hAnsiTheme="minorHAnsi" w:cs="Arial"/>
          <w:b/>
          <w:sz w:val="24"/>
          <w:szCs w:val="24"/>
          <w:u w:val="single"/>
        </w:rPr>
        <w:t>Performance Indicators</w:t>
      </w:r>
    </w:p>
    <w:p w14:paraId="0A939A16" w14:textId="77777777" w:rsidR="008233ED" w:rsidRPr="00F41E86" w:rsidRDefault="008233ED" w:rsidP="008233ED">
      <w:pPr>
        <w:pStyle w:val="BodyTextIndent"/>
        <w:spacing w:after="240"/>
        <w:ind w:left="0"/>
        <w:jc w:val="both"/>
        <w:rPr>
          <w:rFonts w:asciiTheme="minorHAnsi" w:hAnsiTheme="minorHAnsi" w:cs="Arial"/>
          <w:sz w:val="24"/>
          <w:szCs w:val="24"/>
        </w:rPr>
      </w:pPr>
      <w:r w:rsidRPr="00F41E86">
        <w:rPr>
          <w:rFonts w:asciiTheme="minorHAnsi" w:hAnsiTheme="minorHAnsi" w:cs="Arial"/>
          <w:sz w:val="24"/>
          <w:szCs w:val="24"/>
        </w:rPr>
        <w:t>The Information Governance and DS&amp;P Toolkit submission is a mandatory annual return; the criteria for compliance are set out within the relevant Toolkit. The successful implementation of Information Governance across the organisation will be reflected in the achievement level produced from the annual Toolkit submission.</w:t>
      </w:r>
    </w:p>
    <w:p w14:paraId="5B8AF13E" w14:textId="77777777" w:rsidR="008233ED" w:rsidRPr="00F41E86" w:rsidRDefault="008233ED" w:rsidP="008233ED">
      <w:pPr>
        <w:autoSpaceDE w:val="0"/>
        <w:autoSpaceDN w:val="0"/>
        <w:adjustRightInd w:val="0"/>
        <w:jc w:val="both"/>
        <w:rPr>
          <w:rFonts w:asciiTheme="minorHAnsi" w:hAnsiTheme="minorHAnsi"/>
        </w:rPr>
      </w:pPr>
      <w:r w:rsidRPr="00F41E86">
        <w:rPr>
          <w:rFonts w:asciiTheme="minorHAnsi" w:hAnsiTheme="minorHAnsi"/>
        </w:rPr>
        <w:t xml:space="preserve">Performance against this policy will be monitored against the IG Toolkit requirements by the IGSG, and escalated to the Partners.  The level of assurance will be submitted officially via the Information Governance Toolkit on an annual basis.  </w:t>
      </w:r>
    </w:p>
    <w:p w14:paraId="7C55BAA6" w14:textId="77777777" w:rsidR="008233ED" w:rsidRPr="00F41E86" w:rsidRDefault="008233ED" w:rsidP="008233ED">
      <w:pPr>
        <w:autoSpaceDE w:val="0"/>
        <w:autoSpaceDN w:val="0"/>
        <w:adjustRightInd w:val="0"/>
        <w:jc w:val="both"/>
        <w:rPr>
          <w:rFonts w:asciiTheme="minorHAnsi" w:hAnsiTheme="minorHAnsi"/>
          <w:b/>
        </w:rPr>
      </w:pPr>
    </w:p>
    <w:p w14:paraId="7FE67E6B" w14:textId="77777777" w:rsidR="008233ED" w:rsidRPr="001E7160" w:rsidRDefault="008233ED" w:rsidP="008233ED">
      <w:pPr>
        <w:pStyle w:val="BodyTextIndent"/>
        <w:spacing w:after="240"/>
        <w:ind w:left="0"/>
        <w:jc w:val="both"/>
        <w:rPr>
          <w:rFonts w:asciiTheme="minorHAnsi" w:hAnsiTheme="minorHAnsi" w:cs="Arial"/>
          <w:b/>
          <w:sz w:val="24"/>
          <w:szCs w:val="24"/>
          <w:u w:val="single"/>
        </w:rPr>
      </w:pPr>
      <w:r w:rsidRPr="001E7160">
        <w:rPr>
          <w:rFonts w:asciiTheme="minorHAnsi" w:hAnsiTheme="minorHAnsi" w:cs="Arial"/>
          <w:b/>
          <w:sz w:val="24"/>
          <w:szCs w:val="24"/>
          <w:u w:val="single"/>
        </w:rPr>
        <w:t>Internal Reporting</w:t>
      </w:r>
    </w:p>
    <w:p w14:paraId="488CC27C" w14:textId="77777777" w:rsidR="008233ED" w:rsidRPr="00F41E86" w:rsidRDefault="008233ED" w:rsidP="008233ED">
      <w:pPr>
        <w:pStyle w:val="BodyTextIndent"/>
        <w:spacing w:after="240"/>
        <w:ind w:left="0"/>
        <w:jc w:val="both"/>
        <w:rPr>
          <w:rFonts w:asciiTheme="minorHAnsi" w:hAnsiTheme="minorHAnsi" w:cs="Arial"/>
          <w:sz w:val="24"/>
          <w:szCs w:val="24"/>
        </w:rPr>
      </w:pPr>
      <w:r w:rsidRPr="00F41E86">
        <w:rPr>
          <w:rFonts w:asciiTheme="minorHAnsi" w:hAnsiTheme="minorHAnsi" w:cs="Arial"/>
          <w:sz w:val="24"/>
          <w:szCs w:val="24"/>
        </w:rPr>
        <w:t>Formal reporting wi</w:t>
      </w:r>
      <w:r w:rsidR="001E7160">
        <w:rPr>
          <w:rFonts w:asciiTheme="minorHAnsi" w:hAnsiTheme="minorHAnsi" w:cs="Arial"/>
          <w:sz w:val="24"/>
          <w:szCs w:val="24"/>
        </w:rPr>
        <w:t>ll be managed through the IGSG. T</w:t>
      </w:r>
      <w:r w:rsidRPr="00F41E86">
        <w:rPr>
          <w:rFonts w:asciiTheme="minorHAnsi" w:hAnsiTheme="minorHAnsi" w:cs="Arial"/>
          <w:sz w:val="24"/>
          <w:szCs w:val="24"/>
        </w:rPr>
        <w:t>he Practice Manager will establish effective reporting arrangements with the partners to ensure  the practice is receiving ongoing assurance of their IG performance and use these reports as an opportunity to quickly identify and escalate any issues or risks at an early stage.</w:t>
      </w:r>
    </w:p>
    <w:p w14:paraId="5B0DF360" w14:textId="77777777" w:rsidR="001E7160" w:rsidRDefault="001E7160" w:rsidP="008233ED">
      <w:pPr>
        <w:pStyle w:val="BodyTextIndent"/>
        <w:spacing w:after="240"/>
        <w:ind w:left="0"/>
        <w:jc w:val="both"/>
        <w:rPr>
          <w:rFonts w:asciiTheme="minorHAnsi" w:hAnsiTheme="minorHAnsi" w:cs="Arial"/>
          <w:b/>
          <w:sz w:val="24"/>
          <w:szCs w:val="24"/>
        </w:rPr>
      </w:pPr>
    </w:p>
    <w:p w14:paraId="413E8C08" w14:textId="77777777" w:rsidR="008233ED" w:rsidRPr="00F41E86" w:rsidRDefault="008233ED" w:rsidP="008233ED">
      <w:pPr>
        <w:pStyle w:val="BodyTextIndent"/>
        <w:spacing w:after="240"/>
        <w:ind w:left="0"/>
        <w:jc w:val="both"/>
        <w:rPr>
          <w:rFonts w:asciiTheme="minorHAnsi" w:hAnsiTheme="minorHAnsi" w:cs="Arial"/>
          <w:b/>
          <w:sz w:val="24"/>
          <w:szCs w:val="24"/>
        </w:rPr>
      </w:pPr>
      <w:r w:rsidRPr="00F41E86">
        <w:rPr>
          <w:rFonts w:asciiTheme="minorHAnsi" w:hAnsiTheme="minorHAnsi" w:cs="Arial"/>
          <w:b/>
          <w:sz w:val="24"/>
          <w:szCs w:val="24"/>
        </w:rPr>
        <w:t xml:space="preserve">References </w:t>
      </w:r>
    </w:p>
    <w:p w14:paraId="178EE6CD" w14:textId="77777777" w:rsidR="008233ED" w:rsidRPr="00F41E86" w:rsidRDefault="008233ED" w:rsidP="008233ED">
      <w:pPr>
        <w:autoSpaceDE w:val="0"/>
        <w:autoSpaceDN w:val="0"/>
        <w:adjustRightInd w:val="0"/>
        <w:rPr>
          <w:rFonts w:asciiTheme="minorHAnsi" w:hAnsiTheme="minorHAnsi"/>
        </w:rPr>
      </w:pPr>
      <w:r w:rsidRPr="00F41E86">
        <w:rPr>
          <w:rFonts w:asciiTheme="minorHAnsi" w:hAnsiTheme="minorHAnsi"/>
        </w:rPr>
        <w:t>The following references can be accessed via the links provided:</w:t>
      </w:r>
    </w:p>
    <w:p w14:paraId="6038FC6B" w14:textId="77777777" w:rsidR="008233ED" w:rsidRPr="00F41E86" w:rsidRDefault="008233ED" w:rsidP="008233ED">
      <w:pPr>
        <w:autoSpaceDE w:val="0"/>
        <w:autoSpaceDN w:val="0"/>
        <w:adjustRightInd w:val="0"/>
        <w:rPr>
          <w:rFonts w:asciiTheme="minorHAnsi" w:hAnsiTheme="minorHAnsi"/>
          <w:color w:val="0000FF"/>
        </w:rPr>
      </w:pPr>
      <w:r w:rsidRPr="00F41E86">
        <w:rPr>
          <w:rFonts w:asciiTheme="minorHAnsi" w:hAnsiTheme="minorHAnsi"/>
        </w:rPr>
        <w:t xml:space="preserve">• Data Protection Act 1998 available from </w:t>
      </w:r>
      <w:r w:rsidRPr="00F41E86">
        <w:rPr>
          <w:rFonts w:asciiTheme="minorHAnsi" w:hAnsiTheme="minorHAnsi"/>
          <w:color w:val="0000FF"/>
        </w:rPr>
        <w:t>www.</w:t>
      </w:r>
      <w:r w:rsidRPr="00F41E86">
        <w:rPr>
          <w:rFonts w:asciiTheme="minorHAnsi" w:hAnsiTheme="minorHAnsi"/>
          <w:b/>
          <w:bCs/>
          <w:color w:val="0000FF"/>
        </w:rPr>
        <w:t>opsi</w:t>
      </w:r>
      <w:r w:rsidRPr="00F41E86">
        <w:rPr>
          <w:rFonts w:asciiTheme="minorHAnsi" w:hAnsiTheme="minorHAnsi"/>
          <w:color w:val="0000FF"/>
        </w:rPr>
        <w:t>.go.uk</w:t>
      </w:r>
    </w:p>
    <w:p w14:paraId="05388CAF" w14:textId="77777777" w:rsidR="008233ED" w:rsidRPr="00F41E86" w:rsidRDefault="008233ED" w:rsidP="008233ED">
      <w:pPr>
        <w:autoSpaceDE w:val="0"/>
        <w:autoSpaceDN w:val="0"/>
        <w:adjustRightInd w:val="0"/>
        <w:rPr>
          <w:rFonts w:asciiTheme="minorHAnsi" w:hAnsiTheme="minorHAnsi"/>
          <w:color w:val="0000FF"/>
        </w:rPr>
      </w:pPr>
      <w:r w:rsidRPr="00F41E86">
        <w:rPr>
          <w:rFonts w:asciiTheme="minorHAnsi" w:hAnsiTheme="minorHAnsi"/>
        </w:rPr>
        <w:t xml:space="preserve">• Access to Health Records Act 1990 available from </w:t>
      </w:r>
      <w:r w:rsidRPr="00F41E86">
        <w:rPr>
          <w:rFonts w:asciiTheme="minorHAnsi" w:hAnsiTheme="minorHAnsi"/>
          <w:color w:val="0000FF"/>
        </w:rPr>
        <w:t>www.</w:t>
      </w:r>
      <w:r w:rsidRPr="00F41E86">
        <w:rPr>
          <w:rFonts w:asciiTheme="minorHAnsi" w:hAnsiTheme="minorHAnsi"/>
          <w:b/>
          <w:bCs/>
          <w:color w:val="0000FF"/>
        </w:rPr>
        <w:t>opsi</w:t>
      </w:r>
      <w:r w:rsidRPr="00F41E86">
        <w:rPr>
          <w:rFonts w:asciiTheme="minorHAnsi" w:hAnsiTheme="minorHAnsi"/>
          <w:color w:val="0000FF"/>
        </w:rPr>
        <w:t>.go.uk</w:t>
      </w:r>
    </w:p>
    <w:p w14:paraId="6579DA0F" w14:textId="77777777" w:rsidR="008233ED" w:rsidRPr="00F41E86" w:rsidRDefault="008233ED" w:rsidP="008233ED">
      <w:pPr>
        <w:autoSpaceDE w:val="0"/>
        <w:autoSpaceDN w:val="0"/>
        <w:adjustRightInd w:val="0"/>
        <w:rPr>
          <w:rFonts w:asciiTheme="minorHAnsi" w:hAnsiTheme="minorHAnsi"/>
          <w:color w:val="0000FF"/>
        </w:rPr>
      </w:pPr>
      <w:r w:rsidRPr="00F41E86">
        <w:rPr>
          <w:rFonts w:asciiTheme="minorHAnsi" w:hAnsiTheme="minorHAnsi"/>
        </w:rPr>
        <w:t xml:space="preserve">• Human Rights Act 1998 available from </w:t>
      </w:r>
      <w:r w:rsidRPr="00F41E86">
        <w:rPr>
          <w:rFonts w:asciiTheme="minorHAnsi" w:hAnsiTheme="minorHAnsi"/>
          <w:color w:val="0000FF"/>
        </w:rPr>
        <w:t>www.</w:t>
      </w:r>
      <w:r w:rsidRPr="00F41E86">
        <w:rPr>
          <w:rFonts w:asciiTheme="minorHAnsi" w:hAnsiTheme="minorHAnsi"/>
          <w:b/>
          <w:bCs/>
          <w:color w:val="0000FF"/>
        </w:rPr>
        <w:t>opsi</w:t>
      </w:r>
      <w:r w:rsidRPr="00F41E86">
        <w:rPr>
          <w:rFonts w:asciiTheme="minorHAnsi" w:hAnsiTheme="minorHAnsi"/>
          <w:color w:val="0000FF"/>
        </w:rPr>
        <w:t>.go.uk</w:t>
      </w:r>
    </w:p>
    <w:p w14:paraId="0EAF4C0A" w14:textId="77777777" w:rsidR="008233ED" w:rsidRPr="00F41E86" w:rsidRDefault="008233ED" w:rsidP="008233ED">
      <w:pPr>
        <w:autoSpaceDE w:val="0"/>
        <w:autoSpaceDN w:val="0"/>
        <w:adjustRightInd w:val="0"/>
        <w:rPr>
          <w:rFonts w:asciiTheme="minorHAnsi" w:hAnsiTheme="minorHAnsi"/>
          <w:color w:val="0000FF"/>
        </w:rPr>
      </w:pPr>
      <w:r w:rsidRPr="00F41E86">
        <w:rPr>
          <w:rFonts w:asciiTheme="minorHAnsi" w:hAnsiTheme="minorHAnsi"/>
        </w:rPr>
        <w:t xml:space="preserve">• Freedom of Information available from </w:t>
      </w:r>
      <w:r w:rsidRPr="00F41E86">
        <w:rPr>
          <w:rFonts w:asciiTheme="minorHAnsi" w:hAnsiTheme="minorHAnsi"/>
          <w:color w:val="0000FF"/>
        </w:rPr>
        <w:t>www.</w:t>
      </w:r>
      <w:r w:rsidRPr="00F41E86">
        <w:rPr>
          <w:rFonts w:asciiTheme="minorHAnsi" w:hAnsiTheme="minorHAnsi"/>
          <w:b/>
          <w:bCs/>
          <w:color w:val="0000FF"/>
        </w:rPr>
        <w:t>opsi</w:t>
      </w:r>
      <w:r w:rsidRPr="00F41E86">
        <w:rPr>
          <w:rFonts w:asciiTheme="minorHAnsi" w:hAnsiTheme="minorHAnsi"/>
          <w:color w:val="0000FF"/>
        </w:rPr>
        <w:t>.go.uk</w:t>
      </w:r>
    </w:p>
    <w:p w14:paraId="7604E642" w14:textId="77777777" w:rsidR="008233ED" w:rsidRPr="00F41E86" w:rsidRDefault="008233ED" w:rsidP="008233ED">
      <w:pPr>
        <w:autoSpaceDE w:val="0"/>
        <w:autoSpaceDN w:val="0"/>
        <w:adjustRightInd w:val="0"/>
        <w:rPr>
          <w:rFonts w:asciiTheme="minorHAnsi" w:hAnsiTheme="minorHAnsi"/>
        </w:rPr>
      </w:pPr>
      <w:r w:rsidRPr="00F41E86">
        <w:rPr>
          <w:rFonts w:asciiTheme="minorHAnsi" w:hAnsiTheme="minorHAnsi"/>
        </w:rPr>
        <w:t>• Environmental Information Regulations</w:t>
      </w:r>
    </w:p>
    <w:p w14:paraId="35026EE2" w14:textId="77777777" w:rsidR="008233ED" w:rsidRPr="00F41E86" w:rsidRDefault="008233ED" w:rsidP="008233ED">
      <w:pPr>
        <w:autoSpaceDE w:val="0"/>
        <w:autoSpaceDN w:val="0"/>
        <w:adjustRightInd w:val="0"/>
        <w:rPr>
          <w:rFonts w:asciiTheme="minorHAnsi" w:hAnsiTheme="minorHAnsi"/>
          <w:color w:val="0000FF"/>
        </w:rPr>
      </w:pPr>
      <w:r w:rsidRPr="00F41E86">
        <w:rPr>
          <w:rFonts w:asciiTheme="minorHAnsi" w:hAnsiTheme="minorHAnsi"/>
          <w:color w:val="0000FF"/>
        </w:rPr>
        <w:t>http://www.ico.org.uk/for_organisations/environmental_information/guide</w:t>
      </w:r>
    </w:p>
    <w:p w14:paraId="3964A626" w14:textId="77777777" w:rsidR="008233ED" w:rsidRPr="00F41E86" w:rsidRDefault="008233ED" w:rsidP="008233ED">
      <w:pPr>
        <w:autoSpaceDE w:val="0"/>
        <w:autoSpaceDN w:val="0"/>
        <w:adjustRightInd w:val="0"/>
        <w:rPr>
          <w:rFonts w:asciiTheme="minorHAnsi" w:hAnsiTheme="minorHAnsi"/>
        </w:rPr>
      </w:pPr>
      <w:r w:rsidRPr="00F41E86">
        <w:rPr>
          <w:rFonts w:asciiTheme="minorHAnsi" w:hAnsiTheme="minorHAnsi"/>
        </w:rPr>
        <w:t>• Record Management available from</w:t>
      </w:r>
    </w:p>
    <w:p w14:paraId="6546D5AC" w14:textId="77777777" w:rsidR="008233ED" w:rsidRPr="00F41E86" w:rsidRDefault="008233ED" w:rsidP="008233ED">
      <w:pPr>
        <w:autoSpaceDE w:val="0"/>
        <w:autoSpaceDN w:val="0"/>
        <w:adjustRightInd w:val="0"/>
        <w:rPr>
          <w:rFonts w:asciiTheme="minorHAnsi" w:hAnsiTheme="minorHAnsi"/>
          <w:color w:val="0000FF"/>
        </w:rPr>
      </w:pPr>
      <w:r w:rsidRPr="00F41E86">
        <w:rPr>
          <w:rFonts w:asciiTheme="minorHAnsi" w:hAnsiTheme="minorHAnsi"/>
          <w:color w:val="0000FF"/>
        </w:rPr>
        <w:t>http://www.nationalarchives.gov.uk/information-management/projects-andwork/</w:t>
      </w:r>
    </w:p>
    <w:p w14:paraId="69800777" w14:textId="77777777" w:rsidR="008233ED" w:rsidRPr="00F41E86" w:rsidRDefault="008233ED" w:rsidP="008233ED">
      <w:pPr>
        <w:autoSpaceDE w:val="0"/>
        <w:autoSpaceDN w:val="0"/>
        <w:adjustRightInd w:val="0"/>
        <w:rPr>
          <w:rFonts w:asciiTheme="minorHAnsi" w:hAnsiTheme="minorHAnsi"/>
          <w:color w:val="0000FF"/>
        </w:rPr>
      </w:pPr>
      <w:r w:rsidRPr="00F41E86">
        <w:rPr>
          <w:rFonts w:asciiTheme="minorHAnsi" w:hAnsiTheme="minorHAnsi"/>
          <w:color w:val="0000FF"/>
        </w:rPr>
        <w:t>information-records-management.htm</w:t>
      </w:r>
    </w:p>
    <w:p w14:paraId="6FAB5438" w14:textId="77777777" w:rsidR="008233ED" w:rsidRPr="00F41E86" w:rsidRDefault="008233ED" w:rsidP="008233ED">
      <w:pPr>
        <w:autoSpaceDE w:val="0"/>
        <w:autoSpaceDN w:val="0"/>
        <w:adjustRightInd w:val="0"/>
        <w:rPr>
          <w:rFonts w:asciiTheme="minorHAnsi" w:hAnsiTheme="minorHAnsi"/>
        </w:rPr>
      </w:pPr>
      <w:r w:rsidRPr="00F41E86">
        <w:rPr>
          <w:rFonts w:asciiTheme="minorHAnsi" w:hAnsiTheme="minorHAnsi"/>
        </w:rPr>
        <w:lastRenderedPageBreak/>
        <w:t>• Common Law of Confidentiality</w:t>
      </w:r>
    </w:p>
    <w:p w14:paraId="1ACAC914" w14:textId="77777777" w:rsidR="008233ED" w:rsidRPr="00F41E86" w:rsidRDefault="008233ED" w:rsidP="008233ED">
      <w:pPr>
        <w:autoSpaceDE w:val="0"/>
        <w:autoSpaceDN w:val="0"/>
        <w:adjustRightInd w:val="0"/>
        <w:rPr>
          <w:rFonts w:asciiTheme="minorHAnsi" w:hAnsiTheme="minorHAnsi"/>
        </w:rPr>
      </w:pPr>
      <w:r w:rsidRPr="00F41E86">
        <w:rPr>
          <w:rFonts w:asciiTheme="minorHAnsi" w:hAnsiTheme="minorHAnsi"/>
        </w:rPr>
        <w:t>• NHS Confidentiality- code of practice available from</w:t>
      </w:r>
    </w:p>
    <w:p w14:paraId="7090CAEC" w14:textId="77777777" w:rsidR="008233ED" w:rsidRPr="00F41E86" w:rsidRDefault="008233ED" w:rsidP="008233ED">
      <w:pPr>
        <w:autoSpaceDE w:val="0"/>
        <w:autoSpaceDN w:val="0"/>
        <w:adjustRightInd w:val="0"/>
        <w:rPr>
          <w:rFonts w:asciiTheme="minorHAnsi" w:hAnsiTheme="minorHAnsi"/>
          <w:color w:val="0000FF"/>
        </w:rPr>
      </w:pPr>
      <w:r w:rsidRPr="00F41E86">
        <w:rPr>
          <w:rFonts w:asciiTheme="minorHAnsi" w:hAnsiTheme="minorHAnsi"/>
          <w:color w:val="0000FF"/>
        </w:rPr>
        <w:t>https://www.gov.uk/government/publications/confidentiality-nhs-code-of-practice</w:t>
      </w:r>
    </w:p>
    <w:p w14:paraId="7DC5A496" w14:textId="77777777" w:rsidR="008233ED" w:rsidRPr="00F41E86" w:rsidRDefault="008233ED" w:rsidP="008233ED">
      <w:pPr>
        <w:autoSpaceDE w:val="0"/>
        <w:autoSpaceDN w:val="0"/>
        <w:adjustRightInd w:val="0"/>
        <w:rPr>
          <w:rFonts w:asciiTheme="minorHAnsi" w:hAnsiTheme="minorHAnsi"/>
        </w:rPr>
      </w:pPr>
      <w:r w:rsidRPr="00F41E86">
        <w:rPr>
          <w:rFonts w:asciiTheme="minorHAnsi" w:hAnsiTheme="minorHAnsi"/>
        </w:rPr>
        <w:t>• Calidicott Report available from</w:t>
      </w:r>
    </w:p>
    <w:p w14:paraId="2247FB37" w14:textId="77777777" w:rsidR="008233ED" w:rsidRPr="00F41E86" w:rsidRDefault="008233ED" w:rsidP="008233ED">
      <w:pPr>
        <w:autoSpaceDE w:val="0"/>
        <w:autoSpaceDN w:val="0"/>
        <w:adjustRightInd w:val="0"/>
        <w:rPr>
          <w:rFonts w:asciiTheme="minorHAnsi" w:hAnsiTheme="minorHAnsi"/>
          <w:color w:val="0000FF"/>
        </w:rPr>
      </w:pPr>
      <w:r w:rsidRPr="00F41E86">
        <w:rPr>
          <w:rFonts w:asciiTheme="minorHAnsi" w:hAnsiTheme="minorHAnsi"/>
          <w:color w:val="0000FF"/>
        </w:rPr>
        <w:t>https://www.gov.uk/government/publications/the-information-governance-review</w:t>
      </w:r>
    </w:p>
    <w:p w14:paraId="3E7D3609" w14:textId="77777777" w:rsidR="008233ED" w:rsidRPr="00F41E86" w:rsidRDefault="008233ED" w:rsidP="008233ED">
      <w:pPr>
        <w:autoSpaceDE w:val="0"/>
        <w:autoSpaceDN w:val="0"/>
        <w:adjustRightInd w:val="0"/>
        <w:rPr>
          <w:rFonts w:asciiTheme="minorHAnsi" w:hAnsiTheme="minorHAnsi"/>
        </w:rPr>
      </w:pPr>
      <w:r w:rsidRPr="00F41E86">
        <w:rPr>
          <w:rFonts w:asciiTheme="minorHAnsi" w:hAnsiTheme="minorHAnsi"/>
        </w:rPr>
        <w:t>• The Health and Social Care Act</w:t>
      </w:r>
    </w:p>
    <w:p w14:paraId="648ED4EE" w14:textId="77777777" w:rsidR="008233ED" w:rsidRPr="00F41E86" w:rsidRDefault="008233ED" w:rsidP="008233ED">
      <w:pPr>
        <w:autoSpaceDE w:val="0"/>
        <w:autoSpaceDN w:val="0"/>
        <w:adjustRightInd w:val="0"/>
        <w:rPr>
          <w:rFonts w:asciiTheme="minorHAnsi" w:hAnsiTheme="minorHAnsi"/>
          <w:color w:val="0000FF"/>
        </w:rPr>
      </w:pPr>
      <w:r w:rsidRPr="00F41E86">
        <w:rPr>
          <w:rFonts w:asciiTheme="minorHAnsi" w:hAnsiTheme="minorHAnsi"/>
          <w:color w:val="0000FF"/>
        </w:rPr>
        <w:t>http://www.legislation.gov.uk/ukdsi/2013/9780111533055</w:t>
      </w:r>
    </w:p>
    <w:p w14:paraId="568B8A3F" w14:textId="77777777" w:rsidR="008233ED" w:rsidRPr="00F41E86" w:rsidRDefault="008233ED" w:rsidP="008233ED">
      <w:pPr>
        <w:autoSpaceDE w:val="0"/>
        <w:autoSpaceDN w:val="0"/>
        <w:adjustRightInd w:val="0"/>
        <w:rPr>
          <w:rFonts w:asciiTheme="minorHAnsi" w:hAnsiTheme="minorHAnsi"/>
        </w:rPr>
      </w:pPr>
      <w:r w:rsidRPr="00F41E86">
        <w:rPr>
          <w:rFonts w:asciiTheme="minorHAnsi" w:hAnsiTheme="minorHAnsi"/>
        </w:rPr>
        <w:t>• Crime and Disorder Act 1998</w:t>
      </w:r>
    </w:p>
    <w:p w14:paraId="42438048" w14:textId="77777777" w:rsidR="008233ED" w:rsidRPr="00F41E86" w:rsidRDefault="008233ED" w:rsidP="008233ED">
      <w:pPr>
        <w:autoSpaceDE w:val="0"/>
        <w:autoSpaceDN w:val="0"/>
        <w:adjustRightInd w:val="0"/>
        <w:rPr>
          <w:rFonts w:asciiTheme="minorHAnsi" w:hAnsiTheme="minorHAnsi"/>
          <w:color w:val="0000FF"/>
        </w:rPr>
      </w:pPr>
      <w:r w:rsidRPr="00F41E86">
        <w:rPr>
          <w:rFonts w:asciiTheme="minorHAnsi" w:hAnsiTheme="minorHAnsi"/>
          <w:color w:val="0000FF"/>
        </w:rPr>
        <w:t>http://www.legislation.gov.uk/ukpga/1998/37/contents</w:t>
      </w:r>
    </w:p>
    <w:p w14:paraId="329D2B7D" w14:textId="77777777" w:rsidR="008233ED" w:rsidRPr="00F41E86" w:rsidRDefault="008233ED" w:rsidP="008233ED">
      <w:pPr>
        <w:autoSpaceDE w:val="0"/>
        <w:autoSpaceDN w:val="0"/>
        <w:adjustRightInd w:val="0"/>
        <w:rPr>
          <w:rFonts w:asciiTheme="minorHAnsi" w:hAnsiTheme="minorHAnsi"/>
        </w:rPr>
      </w:pPr>
      <w:r w:rsidRPr="00F41E86">
        <w:rPr>
          <w:rFonts w:asciiTheme="minorHAnsi" w:hAnsiTheme="minorHAnsi"/>
        </w:rPr>
        <w:t>• Protection of Children Act 1999</w:t>
      </w:r>
    </w:p>
    <w:p w14:paraId="529A3260" w14:textId="77777777" w:rsidR="008233ED" w:rsidRPr="00F41E86" w:rsidRDefault="008233ED" w:rsidP="008233ED">
      <w:pPr>
        <w:pStyle w:val="BodyTextIndent"/>
        <w:spacing w:after="240"/>
        <w:ind w:left="0"/>
        <w:jc w:val="both"/>
        <w:rPr>
          <w:rFonts w:asciiTheme="minorHAnsi" w:hAnsiTheme="minorHAnsi" w:cs="Arial"/>
          <w:b/>
          <w:sz w:val="24"/>
          <w:szCs w:val="24"/>
        </w:rPr>
      </w:pPr>
      <w:r w:rsidRPr="00F41E86">
        <w:rPr>
          <w:rFonts w:asciiTheme="minorHAnsi" w:hAnsiTheme="minorHAnsi" w:cs="Arial"/>
          <w:color w:val="0000FF"/>
          <w:sz w:val="24"/>
          <w:szCs w:val="24"/>
        </w:rPr>
        <w:t>http://www.legislation.gov.uk/ukpga/1999/14/contents</w:t>
      </w:r>
    </w:p>
    <w:p w14:paraId="008B7029" w14:textId="77777777" w:rsidR="008233ED" w:rsidRPr="00F41E86" w:rsidRDefault="008233ED" w:rsidP="008233ED">
      <w:pPr>
        <w:jc w:val="both"/>
        <w:rPr>
          <w:rFonts w:asciiTheme="minorHAnsi" w:hAnsiTheme="minorHAnsi"/>
          <w:b/>
          <w:bCs/>
        </w:rPr>
      </w:pPr>
    </w:p>
    <w:p w14:paraId="005A7BDD" w14:textId="77777777" w:rsidR="006360FD" w:rsidRDefault="006360FD" w:rsidP="006360FD">
      <w:pPr>
        <w:jc w:val="center"/>
        <w:rPr>
          <w:rFonts w:asciiTheme="minorHAnsi" w:hAnsiTheme="minorHAnsi"/>
          <w:b/>
          <w:bCs/>
        </w:rPr>
      </w:pPr>
    </w:p>
    <w:p w14:paraId="2A4E6BC9" w14:textId="77777777" w:rsidR="001E7160" w:rsidRDefault="001E7160" w:rsidP="006360FD">
      <w:pPr>
        <w:jc w:val="center"/>
        <w:rPr>
          <w:rFonts w:asciiTheme="minorHAnsi" w:hAnsiTheme="minorHAnsi"/>
          <w:b/>
          <w:bCs/>
        </w:rPr>
      </w:pPr>
    </w:p>
    <w:p w14:paraId="1D89BA3A" w14:textId="77777777" w:rsidR="001E7160" w:rsidRDefault="001E7160" w:rsidP="006360FD">
      <w:pPr>
        <w:jc w:val="center"/>
        <w:rPr>
          <w:rFonts w:asciiTheme="minorHAnsi" w:hAnsiTheme="minorHAnsi"/>
          <w:b/>
          <w:bCs/>
        </w:rPr>
      </w:pPr>
    </w:p>
    <w:p w14:paraId="47B9F3A0" w14:textId="77777777" w:rsidR="001E7160" w:rsidRDefault="001E7160" w:rsidP="006360FD">
      <w:pPr>
        <w:jc w:val="center"/>
        <w:rPr>
          <w:rFonts w:asciiTheme="minorHAnsi" w:hAnsiTheme="minorHAnsi"/>
          <w:b/>
          <w:bCs/>
        </w:rPr>
      </w:pPr>
    </w:p>
    <w:p w14:paraId="43C40F93" w14:textId="77777777" w:rsidR="001E7160" w:rsidRDefault="001E7160" w:rsidP="006360FD">
      <w:pPr>
        <w:jc w:val="center"/>
        <w:rPr>
          <w:rFonts w:asciiTheme="minorHAnsi" w:hAnsiTheme="minorHAnsi"/>
          <w:b/>
          <w:bCs/>
        </w:rPr>
      </w:pPr>
    </w:p>
    <w:p w14:paraId="53965B0F" w14:textId="77777777" w:rsidR="001E7160" w:rsidRDefault="001E7160" w:rsidP="006360FD">
      <w:pPr>
        <w:jc w:val="center"/>
        <w:rPr>
          <w:rFonts w:asciiTheme="minorHAnsi" w:hAnsiTheme="minorHAnsi"/>
          <w:b/>
          <w:bCs/>
        </w:rPr>
      </w:pPr>
    </w:p>
    <w:p w14:paraId="4A30346D" w14:textId="77777777" w:rsidR="001E7160" w:rsidRDefault="001E7160" w:rsidP="006360FD">
      <w:pPr>
        <w:jc w:val="center"/>
        <w:rPr>
          <w:rFonts w:asciiTheme="minorHAnsi" w:hAnsiTheme="minorHAnsi"/>
          <w:b/>
          <w:bCs/>
        </w:rPr>
      </w:pPr>
    </w:p>
    <w:p w14:paraId="36581B9B" w14:textId="77777777" w:rsidR="001E7160" w:rsidRDefault="001E7160" w:rsidP="006360FD">
      <w:pPr>
        <w:jc w:val="center"/>
        <w:rPr>
          <w:rFonts w:asciiTheme="minorHAnsi" w:hAnsiTheme="minorHAnsi"/>
          <w:b/>
          <w:bCs/>
        </w:rPr>
      </w:pPr>
    </w:p>
    <w:p w14:paraId="6D27D343" w14:textId="77777777" w:rsidR="001E7160" w:rsidRDefault="001E7160" w:rsidP="006360FD">
      <w:pPr>
        <w:jc w:val="center"/>
        <w:rPr>
          <w:rFonts w:asciiTheme="minorHAnsi" w:hAnsiTheme="minorHAnsi"/>
          <w:b/>
          <w:bCs/>
        </w:rPr>
      </w:pPr>
    </w:p>
    <w:p w14:paraId="2BE095E5" w14:textId="77777777" w:rsidR="001E7160" w:rsidRDefault="001E7160" w:rsidP="006360FD">
      <w:pPr>
        <w:jc w:val="center"/>
        <w:rPr>
          <w:rFonts w:asciiTheme="minorHAnsi" w:hAnsiTheme="minorHAnsi"/>
          <w:b/>
          <w:bCs/>
        </w:rPr>
      </w:pPr>
    </w:p>
    <w:p w14:paraId="61E3430A" w14:textId="77777777" w:rsidR="001E7160" w:rsidRDefault="001E7160" w:rsidP="006360FD">
      <w:pPr>
        <w:jc w:val="center"/>
        <w:rPr>
          <w:rFonts w:asciiTheme="minorHAnsi" w:hAnsiTheme="minorHAnsi"/>
          <w:b/>
          <w:bCs/>
        </w:rPr>
      </w:pPr>
    </w:p>
    <w:p w14:paraId="668FB018" w14:textId="77777777" w:rsidR="001E7160" w:rsidRDefault="001E7160" w:rsidP="006360FD">
      <w:pPr>
        <w:jc w:val="center"/>
        <w:rPr>
          <w:rFonts w:asciiTheme="minorHAnsi" w:hAnsiTheme="minorHAnsi"/>
          <w:b/>
          <w:bCs/>
        </w:rPr>
      </w:pPr>
    </w:p>
    <w:p w14:paraId="31638447" w14:textId="77777777" w:rsidR="001E7160" w:rsidRDefault="001E7160" w:rsidP="006360FD">
      <w:pPr>
        <w:jc w:val="center"/>
        <w:rPr>
          <w:rFonts w:asciiTheme="minorHAnsi" w:hAnsiTheme="minorHAnsi"/>
          <w:b/>
          <w:bCs/>
        </w:rPr>
      </w:pPr>
    </w:p>
    <w:p w14:paraId="51D65F6C" w14:textId="77777777" w:rsidR="001E7160" w:rsidRDefault="001E7160" w:rsidP="006360FD">
      <w:pPr>
        <w:jc w:val="center"/>
        <w:rPr>
          <w:rFonts w:asciiTheme="minorHAnsi" w:hAnsiTheme="minorHAnsi"/>
          <w:b/>
          <w:bCs/>
        </w:rPr>
      </w:pPr>
    </w:p>
    <w:p w14:paraId="2817A4F4" w14:textId="77777777" w:rsidR="001E7160" w:rsidRDefault="001E7160" w:rsidP="006360FD">
      <w:pPr>
        <w:jc w:val="center"/>
        <w:rPr>
          <w:rFonts w:asciiTheme="minorHAnsi" w:hAnsiTheme="minorHAnsi"/>
          <w:b/>
          <w:bCs/>
        </w:rPr>
      </w:pPr>
    </w:p>
    <w:p w14:paraId="2E1FDBA4" w14:textId="77777777" w:rsidR="001E7160" w:rsidRDefault="001E7160" w:rsidP="006360FD">
      <w:pPr>
        <w:jc w:val="center"/>
        <w:rPr>
          <w:rFonts w:asciiTheme="minorHAnsi" w:hAnsiTheme="minorHAnsi"/>
          <w:b/>
          <w:bCs/>
        </w:rPr>
      </w:pPr>
    </w:p>
    <w:p w14:paraId="1739E27F" w14:textId="77777777" w:rsidR="001E7160" w:rsidRDefault="001E7160" w:rsidP="006360FD">
      <w:pPr>
        <w:jc w:val="center"/>
        <w:rPr>
          <w:rFonts w:asciiTheme="minorHAnsi" w:hAnsiTheme="minorHAnsi"/>
          <w:b/>
          <w:bCs/>
        </w:rPr>
      </w:pPr>
    </w:p>
    <w:p w14:paraId="22B2D34B" w14:textId="77777777" w:rsidR="001E7160" w:rsidRDefault="001E7160" w:rsidP="006360FD">
      <w:pPr>
        <w:jc w:val="center"/>
        <w:rPr>
          <w:rFonts w:asciiTheme="minorHAnsi" w:hAnsiTheme="minorHAnsi"/>
          <w:b/>
          <w:bCs/>
        </w:rPr>
      </w:pPr>
    </w:p>
    <w:p w14:paraId="41609DB7" w14:textId="77777777" w:rsidR="001E7160" w:rsidRDefault="001E7160" w:rsidP="006360FD">
      <w:pPr>
        <w:jc w:val="center"/>
        <w:rPr>
          <w:rFonts w:asciiTheme="minorHAnsi" w:hAnsiTheme="minorHAnsi"/>
          <w:b/>
          <w:bCs/>
        </w:rPr>
      </w:pPr>
    </w:p>
    <w:p w14:paraId="328F5B89" w14:textId="77777777" w:rsidR="001E7160" w:rsidRPr="006360FD" w:rsidRDefault="001E7160" w:rsidP="006360FD">
      <w:pPr>
        <w:jc w:val="center"/>
        <w:rPr>
          <w:rFonts w:ascii="Arial" w:eastAsia="Times New Roman" w:hAnsi="Arial"/>
          <w:b/>
          <w:color w:val="auto"/>
          <w:spacing w:val="0"/>
          <w:sz w:val="36"/>
          <w:szCs w:val="36"/>
          <w:u w:val="single"/>
          <w:lang w:eastAsia="en-GB"/>
        </w:rPr>
      </w:pPr>
    </w:p>
    <w:p w14:paraId="40B75962" w14:textId="77777777" w:rsidR="006360FD" w:rsidRPr="006360FD" w:rsidRDefault="006360FD" w:rsidP="006360FD">
      <w:pPr>
        <w:jc w:val="center"/>
        <w:rPr>
          <w:rFonts w:ascii="Arial" w:eastAsia="Times New Roman" w:hAnsi="Arial"/>
          <w:b/>
          <w:color w:val="auto"/>
          <w:spacing w:val="0"/>
          <w:sz w:val="36"/>
          <w:szCs w:val="36"/>
          <w:u w:val="single"/>
          <w:lang w:eastAsia="en-GB"/>
        </w:rPr>
      </w:pPr>
    </w:p>
    <w:sectPr w:rsidR="006360FD" w:rsidRPr="006360FD" w:rsidSect="00FB0BD8">
      <w:pgSz w:w="11906" w:h="16838" w:code="9"/>
      <w:pgMar w:top="432" w:right="1296" w:bottom="576" w:left="1296" w:header="0"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F368E" w14:textId="77777777" w:rsidR="008B5004" w:rsidRDefault="008B5004">
      <w:r>
        <w:separator/>
      </w:r>
    </w:p>
    <w:p w14:paraId="410CA846" w14:textId="77777777" w:rsidR="008B5004" w:rsidRDefault="008B5004"/>
  </w:endnote>
  <w:endnote w:type="continuationSeparator" w:id="0">
    <w:p w14:paraId="2A7F823E" w14:textId="77777777" w:rsidR="008B5004" w:rsidRDefault="008B5004">
      <w:r>
        <w:continuationSeparator/>
      </w:r>
    </w:p>
    <w:p w14:paraId="78B45212" w14:textId="77777777" w:rsidR="008B5004" w:rsidRDefault="008B50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gfa Rotis Semisans">
    <w:altName w:val="Tahoma"/>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0F090" w14:textId="77777777" w:rsidR="008B5004" w:rsidRDefault="008B5004">
      <w:r>
        <w:separator/>
      </w:r>
    </w:p>
    <w:p w14:paraId="4E09BAEC" w14:textId="77777777" w:rsidR="008B5004" w:rsidRDefault="008B5004"/>
  </w:footnote>
  <w:footnote w:type="continuationSeparator" w:id="0">
    <w:p w14:paraId="60DF3A61" w14:textId="77777777" w:rsidR="008B5004" w:rsidRDefault="008B5004">
      <w:r>
        <w:continuationSeparator/>
      </w:r>
    </w:p>
    <w:p w14:paraId="6ECF821D" w14:textId="77777777" w:rsidR="008B5004" w:rsidRDefault="008B500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61BF"/>
    <w:multiLevelType w:val="hybridMultilevel"/>
    <w:tmpl w:val="313C3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E0C22"/>
    <w:multiLevelType w:val="hybridMultilevel"/>
    <w:tmpl w:val="62D6477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43A8D"/>
    <w:multiLevelType w:val="hybridMultilevel"/>
    <w:tmpl w:val="F69C8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7B3FB1"/>
    <w:multiLevelType w:val="multilevel"/>
    <w:tmpl w:val="770EB722"/>
    <w:styleLink w:val="Bullet01"/>
    <w:lvl w:ilvl="0">
      <w:start w:val="1"/>
      <w:numFmt w:val="bullet"/>
      <w:lvlText w:val=""/>
      <w:lvlJc w:val="left"/>
      <w:pPr>
        <w:tabs>
          <w:tab w:val="num" w:pos="360"/>
        </w:tabs>
        <w:ind w:left="360" w:hanging="360"/>
      </w:pPr>
      <w:rPr>
        <w:rFonts w:ascii="Symbol" w:hAnsi="Symbol"/>
        <w:color w:val="000000"/>
        <w:spacing w:val="-2"/>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ED19A4"/>
    <w:multiLevelType w:val="hybridMultilevel"/>
    <w:tmpl w:val="CCFA3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C70629"/>
    <w:multiLevelType w:val="hybridMultilevel"/>
    <w:tmpl w:val="16C85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ED3F86"/>
    <w:multiLevelType w:val="hybridMultilevel"/>
    <w:tmpl w:val="894E0C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ECF1088"/>
    <w:multiLevelType w:val="hybridMultilevel"/>
    <w:tmpl w:val="08E8F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8008CE"/>
    <w:multiLevelType w:val="hybridMultilevel"/>
    <w:tmpl w:val="F086FAB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21B167C"/>
    <w:multiLevelType w:val="hybridMultilevel"/>
    <w:tmpl w:val="B0F67DE4"/>
    <w:lvl w:ilvl="0" w:tplc="04090001">
      <w:start w:val="1"/>
      <w:numFmt w:val="bullet"/>
      <w:lvlText w:val=""/>
      <w:lvlJc w:val="left"/>
      <w:pPr>
        <w:tabs>
          <w:tab w:val="num" w:pos="862"/>
        </w:tabs>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15:restartNumberingAfterBreak="0">
    <w:nsid w:val="28700D32"/>
    <w:multiLevelType w:val="hybridMultilevel"/>
    <w:tmpl w:val="E306EDCA"/>
    <w:lvl w:ilvl="0" w:tplc="04090001">
      <w:start w:val="1"/>
      <w:numFmt w:val="bullet"/>
      <w:lvlText w:val=""/>
      <w:lvlJc w:val="left"/>
      <w:pPr>
        <w:tabs>
          <w:tab w:val="num" w:pos="862"/>
        </w:tabs>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15:restartNumberingAfterBreak="0">
    <w:nsid w:val="2CC702A2"/>
    <w:multiLevelType w:val="hybridMultilevel"/>
    <w:tmpl w:val="795ADB2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072BAF"/>
    <w:multiLevelType w:val="hybridMultilevel"/>
    <w:tmpl w:val="4130520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2E9D6A2D"/>
    <w:multiLevelType w:val="hybridMultilevel"/>
    <w:tmpl w:val="223A6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471276"/>
    <w:multiLevelType w:val="hybridMultilevel"/>
    <w:tmpl w:val="EC783F6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3A115270"/>
    <w:multiLevelType w:val="hybridMultilevel"/>
    <w:tmpl w:val="D500219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810272"/>
    <w:multiLevelType w:val="hybridMultilevel"/>
    <w:tmpl w:val="0FC8D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2D3B25"/>
    <w:multiLevelType w:val="hybridMultilevel"/>
    <w:tmpl w:val="69348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767206"/>
    <w:multiLevelType w:val="hybridMultilevel"/>
    <w:tmpl w:val="29365FB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4B095D8E"/>
    <w:multiLevelType w:val="multilevel"/>
    <w:tmpl w:val="6504D4A0"/>
    <w:styleLink w:val="Bullet02"/>
    <w:lvl w:ilvl="0">
      <w:start w:val="1"/>
      <w:numFmt w:val="bullet"/>
      <w:lvlText w:val=""/>
      <w:lvlJc w:val="left"/>
      <w:pPr>
        <w:tabs>
          <w:tab w:val="num" w:pos="720"/>
        </w:tabs>
        <w:ind w:left="720" w:hanging="360"/>
      </w:pPr>
      <w:rPr>
        <w:rFonts w:ascii="Wingdings" w:hAnsi="Wingdings"/>
        <w:color w:val="000000"/>
        <w:spacing w:val="-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B825F6"/>
    <w:multiLevelType w:val="hybridMultilevel"/>
    <w:tmpl w:val="105A9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C3598B"/>
    <w:multiLevelType w:val="hybridMultilevel"/>
    <w:tmpl w:val="F47E07E2"/>
    <w:lvl w:ilvl="0" w:tplc="04090001">
      <w:start w:val="1"/>
      <w:numFmt w:val="bullet"/>
      <w:lvlText w:val=""/>
      <w:lvlJc w:val="left"/>
      <w:pPr>
        <w:tabs>
          <w:tab w:val="num" w:pos="1428"/>
        </w:tabs>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2" w15:restartNumberingAfterBreak="0">
    <w:nsid w:val="5E97150A"/>
    <w:multiLevelType w:val="hybridMultilevel"/>
    <w:tmpl w:val="B7C47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D04E09"/>
    <w:multiLevelType w:val="hybridMultilevel"/>
    <w:tmpl w:val="02C46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597607"/>
    <w:multiLevelType w:val="hybridMultilevel"/>
    <w:tmpl w:val="6C5C7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CD5EF0"/>
    <w:multiLevelType w:val="hybridMultilevel"/>
    <w:tmpl w:val="BACC9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53484D"/>
    <w:multiLevelType w:val="hybridMultilevel"/>
    <w:tmpl w:val="FF9A6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24114B"/>
    <w:multiLevelType w:val="hybridMultilevel"/>
    <w:tmpl w:val="F2AC3CA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70634416"/>
    <w:multiLevelType w:val="hybridMultilevel"/>
    <w:tmpl w:val="9D0C6B3A"/>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16cid:durableId="234049840">
    <w:abstractNumId w:val="3"/>
  </w:num>
  <w:num w:numId="2" w16cid:durableId="532576790">
    <w:abstractNumId w:val="19"/>
  </w:num>
  <w:num w:numId="3" w16cid:durableId="1983777028">
    <w:abstractNumId w:val="28"/>
  </w:num>
  <w:num w:numId="4" w16cid:durableId="1400982903">
    <w:abstractNumId w:val="25"/>
  </w:num>
  <w:num w:numId="5" w16cid:durableId="228007193">
    <w:abstractNumId w:val="23"/>
  </w:num>
  <w:num w:numId="6" w16cid:durableId="1929343827">
    <w:abstractNumId w:val="4"/>
  </w:num>
  <w:num w:numId="7" w16cid:durableId="547835571">
    <w:abstractNumId w:val="17"/>
  </w:num>
  <w:num w:numId="8" w16cid:durableId="670985076">
    <w:abstractNumId w:val="20"/>
  </w:num>
  <w:num w:numId="9" w16cid:durableId="1863005633">
    <w:abstractNumId w:val="2"/>
  </w:num>
  <w:num w:numId="10" w16cid:durableId="699479526">
    <w:abstractNumId w:val="22"/>
  </w:num>
  <w:num w:numId="11" w16cid:durableId="246234003">
    <w:abstractNumId w:val="0"/>
  </w:num>
  <w:num w:numId="12" w16cid:durableId="1854682097">
    <w:abstractNumId w:val="13"/>
  </w:num>
  <w:num w:numId="13" w16cid:durableId="884492204">
    <w:abstractNumId w:val="26"/>
  </w:num>
  <w:num w:numId="14" w16cid:durableId="1237471995">
    <w:abstractNumId w:val="6"/>
  </w:num>
  <w:num w:numId="15" w16cid:durableId="109204096">
    <w:abstractNumId w:val="16"/>
  </w:num>
  <w:num w:numId="16" w16cid:durableId="1259755969">
    <w:abstractNumId w:val="7"/>
  </w:num>
  <w:num w:numId="17" w16cid:durableId="1234391459">
    <w:abstractNumId w:val="21"/>
  </w:num>
  <w:num w:numId="18" w16cid:durableId="1342319694">
    <w:abstractNumId w:val="11"/>
  </w:num>
  <w:num w:numId="19" w16cid:durableId="1604412097">
    <w:abstractNumId w:val="15"/>
  </w:num>
  <w:num w:numId="20" w16cid:durableId="14893073">
    <w:abstractNumId w:val="9"/>
  </w:num>
  <w:num w:numId="21" w16cid:durableId="519776700">
    <w:abstractNumId w:val="10"/>
  </w:num>
  <w:num w:numId="22" w16cid:durableId="1726029216">
    <w:abstractNumId w:val="1"/>
  </w:num>
  <w:num w:numId="23" w16cid:durableId="1511602442">
    <w:abstractNumId w:val="24"/>
  </w:num>
  <w:num w:numId="24" w16cid:durableId="1704743484">
    <w:abstractNumId w:val="12"/>
  </w:num>
  <w:num w:numId="25" w16cid:durableId="698625323">
    <w:abstractNumId w:val="5"/>
  </w:num>
  <w:num w:numId="26" w16cid:durableId="1906185580">
    <w:abstractNumId w:val="8"/>
  </w:num>
  <w:num w:numId="27" w16cid:durableId="628124272">
    <w:abstractNumId w:val="18"/>
  </w:num>
  <w:num w:numId="28" w16cid:durableId="1911035208">
    <w:abstractNumId w:val="14"/>
  </w:num>
  <w:num w:numId="29" w16cid:durableId="848447259">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613"/>
    <w:rsid w:val="00004DC2"/>
    <w:rsid w:val="0000619B"/>
    <w:rsid w:val="0001110A"/>
    <w:rsid w:val="0001458E"/>
    <w:rsid w:val="00015C1F"/>
    <w:rsid w:val="000233C4"/>
    <w:rsid w:val="000256E1"/>
    <w:rsid w:val="00030B14"/>
    <w:rsid w:val="000365D0"/>
    <w:rsid w:val="000422D4"/>
    <w:rsid w:val="00045375"/>
    <w:rsid w:val="000531EF"/>
    <w:rsid w:val="00064C1E"/>
    <w:rsid w:val="00065772"/>
    <w:rsid w:val="00075D21"/>
    <w:rsid w:val="00080164"/>
    <w:rsid w:val="0008036E"/>
    <w:rsid w:val="00083613"/>
    <w:rsid w:val="00084701"/>
    <w:rsid w:val="000904B6"/>
    <w:rsid w:val="0009271C"/>
    <w:rsid w:val="00094592"/>
    <w:rsid w:val="000A0B60"/>
    <w:rsid w:val="000B5566"/>
    <w:rsid w:val="000C31DC"/>
    <w:rsid w:val="000C32E8"/>
    <w:rsid w:val="000D4AAA"/>
    <w:rsid w:val="000E3190"/>
    <w:rsid w:val="000E46D3"/>
    <w:rsid w:val="000E6C3F"/>
    <w:rsid w:val="000F05A2"/>
    <w:rsid w:val="000F180C"/>
    <w:rsid w:val="000F478B"/>
    <w:rsid w:val="00113414"/>
    <w:rsid w:val="0012113B"/>
    <w:rsid w:val="001223D3"/>
    <w:rsid w:val="00122D04"/>
    <w:rsid w:val="00123D24"/>
    <w:rsid w:val="00133ED0"/>
    <w:rsid w:val="001370AA"/>
    <w:rsid w:val="00137301"/>
    <w:rsid w:val="0014414D"/>
    <w:rsid w:val="00144D33"/>
    <w:rsid w:val="00144FBF"/>
    <w:rsid w:val="001551B3"/>
    <w:rsid w:val="001614EC"/>
    <w:rsid w:val="00165B33"/>
    <w:rsid w:val="00185A48"/>
    <w:rsid w:val="00187B92"/>
    <w:rsid w:val="00191106"/>
    <w:rsid w:val="00192834"/>
    <w:rsid w:val="001A24FB"/>
    <w:rsid w:val="001A2A4F"/>
    <w:rsid w:val="001A6748"/>
    <w:rsid w:val="001B53AA"/>
    <w:rsid w:val="001B7630"/>
    <w:rsid w:val="001C5FA3"/>
    <w:rsid w:val="001D385F"/>
    <w:rsid w:val="001D38D5"/>
    <w:rsid w:val="001E01A0"/>
    <w:rsid w:val="001E10DF"/>
    <w:rsid w:val="001E4687"/>
    <w:rsid w:val="001E676D"/>
    <w:rsid w:val="001E7160"/>
    <w:rsid w:val="001F002C"/>
    <w:rsid w:val="001F4D36"/>
    <w:rsid w:val="00203EB8"/>
    <w:rsid w:val="00213057"/>
    <w:rsid w:val="0023494D"/>
    <w:rsid w:val="00235225"/>
    <w:rsid w:val="00243CE9"/>
    <w:rsid w:val="0025071D"/>
    <w:rsid w:val="00251B70"/>
    <w:rsid w:val="00264925"/>
    <w:rsid w:val="00266E1C"/>
    <w:rsid w:val="0027783A"/>
    <w:rsid w:val="00286853"/>
    <w:rsid w:val="00287882"/>
    <w:rsid w:val="0029370D"/>
    <w:rsid w:val="002B0A7C"/>
    <w:rsid w:val="002B3890"/>
    <w:rsid w:val="002C3058"/>
    <w:rsid w:val="002C31FD"/>
    <w:rsid w:val="002C332F"/>
    <w:rsid w:val="002C5E03"/>
    <w:rsid w:val="002D0BD0"/>
    <w:rsid w:val="002D2657"/>
    <w:rsid w:val="002E3736"/>
    <w:rsid w:val="002E38A9"/>
    <w:rsid w:val="002E5160"/>
    <w:rsid w:val="002F0BEF"/>
    <w:rsid w:val="002F38E0"/>
    <w:rsid w:val="002F77F0"/>
    <w:rsid w:val="0030217A"/>
    <w:rsid w:val="00306513"/>
    <w:rsid w:val="00311072"/>
    <w:rsid w:val="003133C6"/>
    <w:rsid w:val="00315B88"/>
    <w:rsid w:val="003218DB"/>
    <w:rsid w:val="003218FA"/>
    <w:rsid w:val="0032457C"/>
    <w:rsid w:val="00326FF6"/>
    <w:rsid w:val="0034242F"/>
    <w:rsid w:val="00343E7F"/>
    <w:rsid w:val="00347F58"/>
    <w:rsid w:val="00350D7F"/>
    <w:rsid w:val="00352A55"/>
    <w:rsid w:val="0035599D"/>
    <w:rsid w:val="00361939"/>
    <w:rsid w:val="003640DD"/>
    <w:rsid w:val="00365C56"/>
    <w:rsid w:val="00375A54"/>
    <w:rsid w:val="0038020A"/>
    <w:rsid w:val="00382E0E"/>
    <w:rsid w:val="00383CFD"/>
    <w:rsid w:val="0038408A"/>
    <w:rsid w:val="003A2276"/>
    <w:rsid w:val="003A44C6"/>
    <w:rsid w:val="003B26D3"/>
    <w:rsid w:val="003B332C"/>
    <w:rsid w:val="003B34FA"/>
    <w:rsid w:val="003C0C3B"/>
    <w:rsid w:val="003C45FC"/>
    <w:rsid w:val="003C788D"/>
    <w:rsid w:val="003D0E27"/>
    <w:rsid w:val="003D2297"/>
    <w:rsid w:val="003D495F"/>
    <w:rsid w:val="003E67D0"/>
    <w:rsid w:val="003F0292"/>
    <w:rsid w:val="00402859"/>
    <w:rsid w:val="00416E53"/>
    <w:rsid w:val="00430960"/>
    <w:rsid w:val="00433329"/>
    <w:rsid w:val="00435647"/>
    <w:rsid w:val="0043628D"/>
    <w:rsid w:val="004362E5"/>
    <w:rsid w:val="00443FD4"/>
    <w:rsid w:val="004509E5"/>
    <w:rsid w:val="00456799"/>
    <w:rsid w:val="0046312A"/>
    <w:rsid w:val="00470AD1"/>
    <w:rsid w:val="00475FA2"/>
    <w:rsid w:val="004A7835"/>
    <w:rsid w:val="004B00B2"/>
    <w:rsid w:val="004B1DCB"/>
    <w:rsid w:val="004B5A8E"/>
    <w:rsid w:val="004C1A14"/>
    <w:rsid w:val="004C51F7"/>
    <w:rsid w:val="004D7BB3"/>
    <w:rsid w:val="004E7E7C"/>
    <w:rsid w:val="004F1B0F"/>
    <w:rsid w:val="004F6598"/>
    <w:rsid w:val="004F6D20"/>
    <w:rsid w:val="00500450"/>
    <w:rsid w:val="00512A29"/>
    <w:rsid w:val="00513D4A"/>
    <w:rsid w:val="005165DB"/>
    <w:rsid w:val="005205F3"/>
    <w:rsid w:val="005207CF"/>
    <w:rsid w:val="00520BAC"/>
    <w:rsid w:val="0052238E"/>
    <w:rsid w:val="00527F1E"/>
    <w:rsid w:val="0054186C"/>
    <w:rsid w:val="005504A6"/>
    <w:rsid w:val="0055058E"/>
    <w:rsid w:val="00557E7B"/>
    <w:rsid w:val="00562084"/>
    <w:rsid w:val="00563105"/>
    <w:rsid w:val="0056341E"/>
    <w:rsid w:val="00570B29"/>
    <w:rsid w:val="00571486"/>
    <w:rsid w:val="005857EA"/>
    <w:rsid w:val="00585921"/>
    <w:rsid w:val="00586BA1"/>
    <w:rsid w:val="005971AE"/>
    <w:rsid w:val="005A0E4F"/>
    <w:rsid w:val="005A62EA"/>
    <w:rsid w:val="005B31E1"/>
    <w:rsid w:val="005B7441"/>
    <w:rsid w:val="005C244D"/>
    <w:rsid w:val="005C78A9"/>
    <w:rsid w:val="005D66C5"/>
    <w:rsid w:val="005E202B"/>
    <w:rsid w:val="005E3CE8"/>
    <w:rsid w:val="005E6065"/>
    <w:rsid w:val="005F2721"/>
    <w:rsid w:val="005F3D27"/>
    <w:rsid w:val="006024B4"/>
    <w:rsid w:val="006056EF"/>
    <w:rsid w:val="00607FC0"/>
    <w:rsid w:val="006149CC"/>
    <w:rsid w:val="006165A7"/>
    <w:rsid w:val="006204E2"/>
    <w:rsid w:val="00630578"/>
    <w:rsid w:val="0063366F"/>
    <w:rsid w:val="00635937"/>
    <w:rsid w:val="006360FD"/>
    <w:rsid w:val="006363EB"/>
    <w:rsid w:val="006404C1"/>
    <w:rsid w:val="00650C76"/>
    <w:rsid w:val="0065501A"/>
    <w:rsid w:val="0066698C"/>
    <w:rsid w:val="00666D76"/>
    <w:rsid w:val="00672322"/>
    <w:rsid w:val="00672B32"/>
    <w:rsid w:val="006776AD"/>
    <w:rsid w:val="006802C7"/>
    <w:rsid w:val="006850F9"/>
    <w:rsid w:val="00691B7F"/>
    <w:rsid w:val="0069236E"/>
    <w:rsid w:val="006A6341"/>
    <w:rsid w:val="006A7628"/>
    <w:rsid w:val="006B0ADC"/>
    <w:rsid w:val="006B7064"/>
    <w:rsid w:val="006C012A"/>
    <w:rsid w:val="006C167C"/>
    <w:rsid w:val="006C4037"/>
    <w:rsid w:val="006D5B2D"/>
    <w:rsid w:val="006D76A0"/>
    <w:rsid w:val="006E0FA5"/>
    <w:rsid w:val="006E2AB1"/>
    <w:rsid w:val="00702112"/>
    <w:rsid w:val="00702619"/>
    <w:rsid w:val="00707211"/>
    <w:rsid w:val="007113FE"/>
    <w:rsid w:val="00715FDA"/>
    <w:rsid w:val="0072609C"/>
    <w:rsid w:val="007501FB"/>
    <w:rsid w:val="0075293B"/>
    <w:rsid w:val="00756B1E"/>
    <w:rsid w:val="00762777"/>
    <w:rsid w:val="00762DCC"/>
    <w:rsid w:val="007636DC"/>
    <w:rsid w:val="00764739"/>
    <w:rsid w:val="0076611A"/>
    <w:rsid w:val="007729A8"/>
    <w:rsid w:val="00773293"/>
    <w:rsid w:val="007835F5"/>
    <w:rsid w:val="00784304"/>
    <w:rsid w:val="00785ECD"/>
    <w:rsid w:val="00794F2F"/>
    <w:rsid w:val="00795FDC"/>
    <w:rsid w:val="007A0FF6"/>
    <w:rsid w:val="007A3AF2"/>
    <w:rsid w:val="007A4B92"/>
    <w:rsid w:val="007A6723"/>
    <w:rsid w:val="007A6E9B"/>
    <w:rsid w:val="007B605D"/>
    <w:rsid w:val="007C099C"/>
    <w:rsid w:val="007C17A8"/>
    <w:rsid w:val="007C51EA"/>
    <w:rsid w:val="007D052A"/>
    <w:rsid w:val="007D42AE"/>
    <w:rsid w:val="007E42A4"/>
    <w:rsid w:val="0080239B"/>
    <w:rsid w:val="00807614"/>
    <w:rsid w:val="00813B7B"/>
    <w:rsid w:val="008233ED"/>
    <w:rsid w:val="00826F32"/>
    <w:rsid w:val="0082742A"/>
    <w:rsid w:val="00830D2B"/>
    <w:rsid w:val="00833110"/>
    <w:rsid w:val="00834C9A"/>
    <w:rsid w:val="00834C9D"/>
    <w:rsid w:val="008357F9"/>
    <w:rsid w:val="00842F3D"/>
    <w:rsid w:val="008435FD"/>
    <w:rsid w:val="00845F70"/>
    <w:rsid w:val="0085388B"/>
    <w:rsid w:val="00855767"/>
    <w:rsid w:val="00856178"/>
    <w:rsid w:val="0085771F"/>
    <w:rsid w:val="00862A3F"/>
    <w:rsid w:val="00871FC1"/>
    <w:rsid w:val="00880EE7"/>
    <w:rsid w:val="0089291C"/>
    <w:rsid w:val="008960F8"/>
    <w:rsid w:val="008A2A0A"/>
    <w:rsid w:val="008A5F25"/>
    <w:rsid w:val="008B37ED"/>
    <w:rsid w:val="008B5004"/>
    <w:rsid w:val="008C14F0"/>
    <w:rsid w:val="008D0B98"/>
    <w:rsid w:val="008D31ED"/>
    <w:rsid w:val="008E2EAB"/>
    <w:rsid w:val="008E6092"/>
    <w:rsid w:val="008F26E2"/>
    <w:rsid w:val="008F27B4"/>
    <w:rsid w:val="008F5D01"/>
    <w:rsid w:val="00904CDA"/>
    <w:rsid w:val="00914FAE"/>
    <w:rsid w:val="009272A6"/>
    <w:rsid w:val="00927CA3"/>
    <w:rsid w:val="00930FA4"/>
    <w:rsid w:val="00933923"/>
    <w:rsid w:val="00933B6E"/>
    <w:rsid w:val="0094051E"/>
    <w:rsid w:val="0094729D"/>
    <w:rsid w:val="00953B0C"/>
    <w:rsid w:val="009629EC"/>
    <w:rsid w:val="00976E3F"/>
    <w:rsid w:val="009836B4"/>
    <w:rsid w:val="00994345"/>
    <w:rsid w:val="0099774D"/>
    <w:rsid w:val="009A4FB7"/>
    <w:rsid w:val="009A7AE7"/>
    <w:rsid w:val="009A7E6B"/>
    <w:rsid w:val="009B21AD"/>
    <w:rsid w:val="009D61C0"/>
    <w:rsid w:val="009F02F8"/>
    <w:rsid w:val="009F1E05"/>
    <w:rsid w:val="00A00893"/>
    <w:rsid w:val="00A02981"/>
    <w:rsid w:val="00A05C03"/>
    <w:rsid w:val="00A11E1A"/>
    <w:rsid w:val="00A12F0F"/>
    <w:rsid w:val="00A13FC6"/>
    <w:rsid w:val="00A27AB1"/>
    <w:rsid w:val="00A31C2B"/>
    <w:rsid w:val="00A40669"/>
    <w:rsid w:val="00A47B2D"/>
    <w:rsid w:val="00A51880"/>
    <w:rsid w:val="00A56EB0"/>
    <w:rsid w:val="00A641E9"/>
    <w:rsid w:val="00A65FF3"/>
    <w:rsid w:val="00A66D61"/>
    <w:rsid w:val="00A67173"/>
    <w:rsid w:val="00A73E14"/>
    <w:rsid w:val="00A73F31"/>
    <w:rsid w:val="00A77308"/>
    <w:rsid w:val="00A801B9"/>
    <w:rsid w:val="00A81167"/>
    <w:rsid w:val="00A82444"/>
    <w:rsid w:val="00A879D8"/>
    <w:rsid w:val="00A935B5"/>
    <w:rsid w:val="00A953A5"/>
    <w:rsid w:val="00A95A87"/>
    <w:rsid w:val="00A97CE7"/>
    <w:rsid w:val="00AB0156"/>
    <w:rsid w:val="00AB3443"/>
    <w:rsid w:val="00AB6BD5"/>
    <w:rsid w:val="00AC54D7"/>
    <w:rsid w:val="00AD0603"/>
    <w:rsid w:val="00AD5F90"/>
    <w:rsid w:val="00AE43B4"/>
    <w:rsid w:val="00AE5608"/>
    <w:rsid w:val="00AF1F48"/>
    <w:rsid w:val="00AF38AF"/>
    <w:rsid w:val="00AF3A62"/>
    <w:rsid w:val="00B03D73"/>
    <w:rsid w:val="00B06017"/>
    <w:rsid w:val="00B126D0"/>
    <w:rsid w:val="00B133FC"/>
    <w:rsid w:val="00B16C09"/>
    <w:rsid w:val="00B256FF"/>
    <w:rsid w:val="00B30A78"/>
    <w:rsid w:val="00B41192"/>
    <w:rsid w:val="00B432E0"/>
    <w:rsid w:val="00B47B5E"/>
    <w:rsid w:val="00B52B74"/>
    <w:rsid w:val="00B53633"/>
    <w:rsid w:val="00B53738"/>
    <w:rsid w:val="00B65DA0"/>
    <w:rsid w:val="00B708B3"/>
    <w:rsid w:val="00B71253"/>
    <w:rsid w:val="00B718F2"/>
    <w:rsid w:val="00B763E2"/>
    <w:rsid w:val="00B82245"/>
    <w:rsid w:val="00B87EE8"/>
    <w:rsid w:val="00B900A8"/>
    <w:rsid w:val="00B93E57"/>
    <w:rsid w:val="00B94D8B"/>
    <w:rsid w:val="00B94F04"/>
    <w:rsid w:val="00B96625"/>
    <w:rsid w:val="00BA3A1D"/>
    <w:rsid w:val="00BA7D86"/>
    <w:rsid w:val="00BB1977"/>
    <w:rsid w:val="00BB3848"/>
    <w:rsid w:val="00BC5A2B"/>
    <w:rsid w:val="00BD2C8A"/>
    <w:rsid w:val="00BD52BC"/>
    <w:rsid w:val="00BD54E0"/>
    <w:rsid w:val="00BF0F84"/>
    <w:rsid w:val="00BF1B62"/>
    <w:rsid w:val="00BF364C"/>
    <w:rsid w:val="00BF4D5D"/>
    <w:rsid w:val="00BF5859"/>
    <w:rsid w:val="00C05FCE"/>
    <w:rsid w:val="00C334F5"/>
    <w:rsid w:val="00C43250"/>
    <w:rsid w:val="00C44990"/>
    <w:rsid w:val="00C4761D"/>
    <w:rsid w:val="00C513D6"/>
    <w:rsid w:val="00C51A7F"/>
    <w:rsid w:val="00C53DD8"/>
    <w:rsid w:val="00C57A73"/>
    <w:rsid w:val="00C649B2"/>
    <w:rsid w:val="00C702FA"/>
    <w:rsid w:val="00C704DA"/>
    <w:rsid w:val="00C73529"/>
    <w:rsid w:val="00C8191C"/>
    <w:rsid w:val="00C95DCC"/>
    <w:rsid w:val="00CA2054"/>
    <w:rsid w:val="00CB342D"/>
    <w:rsid w:val="00CB35E4"/>
    <w:rsid w:val="00CC4EA5"/>
    <w:rsid w:val="00CD00ED"/>
    <w:rsid w:val="00CD6344"/>
    <w:rsid w:val="00CE0F40"/>
    <w:rsid w:val="00CE1324"/>
    <w:rsid w:val="00CE335F"/>
    <w:rsid w:val="00CF4E7C"/>
    <w:rsid w:val="00CF6E40"/>
    <w:rsid w:val="00D00A91"/>
    <w:rsid w:val="00D02099"/>
    <w:rsid w:val="00D04E91"/>
    <w:rsid w:val="00D05496"/>
    <w:rsid w:val="00D05C0A"/>
    <w:rsid w:val="00D0633A"/>
    <w:rsid w:val="00D20154"/>
    <w:rsid w:val="00D2344D"/>
    <w:rsid w:val="00D2428D"/>
    <w:rsid w:val="00D251DD"/>
    <w:rsid w:val="00D26EBF"/>
    <w:rsid w:val="00D34178"/>
    <w:rsid w:val="00D35BF5"/>
    <w:rsid w:val="00D40D69"/>
    <w:rsid w:val="00D450A0"/>
    <w:rsid w:val="00D507E3"/>
    <w:rsid w:val="00D54D46"/>
    <w:rsid w:val="00D54F53"/>
    <w:rsid w:val="00D57C97"/>
    <w:rsid w:val="00D6325A"/>
    <w:rsid w:val="00D7314D"/>
    <w:rsid w:val="00D74CAD"/>
    <w:rsid w:val="00D74F8F"/>
    <w:rsid w:val="00D81DA5"/>
    <w:rsid w:val="00D84944"/>
    <w:rsid w:val="00DA0C09"/>
    <w:rsid w:val="00DA6C20"/>
    <w:rsid w:val="00DB05DF"/>
    <w:rsid w:val="00DB6A9B"/>
    <w:rsid w:val="00DB7EAC"/>
    <w:rsid w:val="00DC0B51"/>
    <w:rsid w:val="00DD400B"/>
    <w:rsid w:val="00DD709C"/>
    <w:rsid w:val="00DE296E"/>
    <w:rsid w:val="00DE5E61"/>
    <w:rsid w:val="00E019D2"/>
    <w:rsid w:val="00E04A4A"/>
    <w:rsid w:val="00E101DD"/>
    <w:rsid w:val="00E13520"/>
    <w:rsid w:val="00E16127"/>
    <w:rsid w:val="00E228E1"/>
    <w:rsid w:val="00E23BE2"/>
    <w:rsid w:val="00E24CA6"/>
    <w:rsid w:val="00E44866"/>
    <w:rsid w:val="00E53276"/>
    <w:rsid w:val="00E54F65"/>
    <w:rsid w:val="00E638BB"/>
    <w:rsid w:val="00E645CC"/>
    <w:rsid w:val="00E65C44"/>
    <w:rsid w:val="00E72B09"/>
    <w:rsid w:val="00E818DB"/>
    <w:rsid w:val="00E85596"/>
    <w:rsid w:val="00E8561D"/>
    <w:rsid w:val="00E85D3B"/>
    <w:rsid w:val="00E9763D"/>
    <w:rsid w:val="00EA1BE8"/>
    <w:rsid w:val="00EA20DE"/>
    <w:rsid w:val="00EA4190"/>
    <w:rsid w:val="00EB34AA"/>
    <w:rsid w:val="00EB377C"/>
    <w:rsid w:val="00EC1818"/>
    <w:rsid w:val="00EC20F6"/>
    <w:rsid w:val="00EC283B"/>
    <w:rsid w:val="00EC3872"/>
    <w:rsid w:val="00EC6A50"/>
    <w:rsid w:val="00EC7A57"/>
    <w:rsid w:val="00EC7D23"/>
    <w:rsid w:val="00EE0C86"/>
    <w:rsid w:val="00EE3ADB"/>
    <w:rsid w:val="00EE41A4"/>
    <w:rsid w:val="00EF009E"/>
    <w:rsid w:val="00F0770B"/>
    <w:rsid w:val="00F165F8"/>
    <w:rsid w:val="00F201AD"/>
    <w:rsid w:val="00F20F1F"/>
    <w:rsid w:val="00F22A7C"/>
    <w:rsid w:val="00F24CBC"/>
    <w:rsid w:val="00F3032C"/>
    <w:rsid w:val="00F33349"/>
    <w:rsid w:val="00F340FD"/>
    <w:rsid w:val="00F43B85"/>
    <w:rsid w:val="00F55530"/>
    <w:rsid w:val="00F5645E"/>
    <w:rsid w:val="00F56C4E"/>
    <w:rsid w:val="00F57BC1"/>
    <w:rsid w:val="00F61881"/>
    <w:rsid w:val="00F67DB3"/>
    <w:rsid w:val="00F80045"/>
    <w:rsid w:val="00F805FA"/>
    <w:rsid w:val="00F839CF"/>
    <w:rsid w:val="00F84589"/>
    <w:rsid w:val="00F86A24"/>
    <w:rsid w:val="00F9096D"/>
    <w:rsid w:val="00F9139E"/>
    <w:rsid w:val="00FA282F"/>
    <w:rsid w:val="00FA2D40"/>
    <w:rsid w:val="00FA5D42"/>
    <w:rsid w:val="00FA6563"/>
    <w:rsid w:val="00FA7AD7"/>
    <w:rsid w:val="00FB0BD8"/>
    <w:rsid w:val="00FB4243"/>
    <w:rsid w:val="00FB4B7D"/>
    <w:rsid w:val="00FB77F9"/>
    <w:rsid w:val="00FC1053"/>
    <w:rsid w:val="00FC5533"/>
    <w:rsid w:val="00FD16F1"/>
    <w:rsid w:val="00FD7A57"/>
    <w:rsid w:val="00FE14A2"/>
    <w:rsid w:val="00FF2746"/>
    <w:rsid w:val="00FF2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A5FF4B"/>
  <w15:docId w15:val="{D99B5BB0-BBC2-426C-8165-DEE26B6B0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5B88"/>
    <w:rPr>
      <w:rFonts w:ascii="Calibri" w:eastAsia="Arial" w:hAnsi="Calibri" w:cs="Arial"/>
      <w:color w:val="000000"/>
      <w:spacing w:val="-2"/>
      <w:sz w:val="24"/>
      <w:szCs w:val="24"/>
      <w:lang w:eastAsia="en-US"/>
    </w:rPr>
  </w:style>
  <w:style w:type="paragraph" w:styleId="Heading1">
    <w:name w:val="heading 1"/>
    <w:basedOn w:val="Normal"/>
    <w:next w:val="Normal"/>
    <w:link w:val="Heading1Char"/>
    <w:qFormat/>
    <w:rsid w:val="00EE41A4"/>
    <w:pPr>
      <w:jc w:val="center"/>
      <w:outlineLvl w:val="0"/>
    </w:pPr>
    <w:rPr>
      <w:b/>
      <w:sz w:val="32"/>
      <w:szCs w:val="32"/>
    </w:rPr>
  </w:style>
  <w:style w:type="paragraph" w:styleId="Heading2">
    <w:name w:val="heading 2"/>
    <w:basedOn w:val="Normal"/>
    <w:next w:val="Normal"/>
    <w:qFormat/>
    <w:rsid w:val="00EE41A4"/>
    <w:pPr>
      <w:outlineLvl w:val="1"/>
    </w:pPr>
    <w:rPr>
      <w:b/>
      <w:sz w:val="28"/>
      <w:szCs w:val="28"/>
      <w:u w:val="single"/>
    </w:rPr>
  </w:style>
  <w:style w:type="paragraph" w:styleId="Heading3">
    <w:name w:val="heading 3"/>
    <w:basedOn w:val="Normal"/>
    <w:next w:val="Normal"/>
    <w:qFormat/>
    <w:rsid w:val="00EE41A4"/>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01">
    <w:name w:val="Bullet_01"/>
    <w:basedOn w:val="NoList"/>
    <w:rsid w:val="004509E5"/>
    <w:pPr>
      <w:numPr>
        <w:numId w:val="1"/>
      </w:numPr>
    </w:pPr>
  </w:style>
  <w:style w:type="numbering" w:customStyle="1" w:styleId="Bullet02">
    <w:name w:val="Bullet_02"/>
    <w:rsid w:val="004509E5"/>
    <w:pPr>
      <w:numPr>
        <w:numId w:val="2"/>
      </w:numPr>
    </w:pPr>
  </w:style>
  <w:style w:type="paragraph" w:styleId="Header">
    <w:name w:val="header"/>
    <w:basedOn w:val="Normal"/>
    <w:rsid w:val="00083613"/>
    <w:pPr>
      <w:tabs>
        <w:tab w:val="center" w:pos="4153"/>
        <w:tab w:val="right" w:pos="8306"/>
      </w:tabs>
    </w:pPr>
  </w:style>
  <w:style w:type="character" w:styleId="CommentReference">
    <w:name w:val="annotation reference"/>
    <w:rsid w:val="00243CE9"/>
    <w:rPr>
      <w:sz w:val="16"/>
      <w:szCs w:val="16"/>
    </w:rPr>
  </w:style>
  <w:style w:type="table" w:styleId="TableGrid">
    <w:name w:val="Table Grid"/>
    <w:basedOn w:val="TableNormal"/>
    <w:rsid w:val="00315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243CE9"/>
    <w:rPr>
      <w:rFonts w:cs="Times New Roman"/>
      <w:sz w:val="20"/>
      <w:szCs w:val="20"/>
      <w:lang w:val="x-none"/>
    </w:rPr>
  </w:style>
  <w:style w:type="paragraph" w:styleId="Footer">
    <w:name w:val="footer"/>
    <w:basedOn w:val="Normal"/>
    <w:rsid w:val="005E202B"/>
    <w:pPr>
      <w:tabs>
        <w:tab w:val="center" w:pos="4153"/>
        <w:tab w:val="right" w:pos="8306"/>
      </w:tabs>
    </w:pPr>
  </w:style>
  <w:style w:type="paragraph" w:styleId="BalloonText">
    <w:name w:val="Balloon Text"/>
    <w:basedOn w:val="Normal"/>
    <w:semiHidden/>
    <w:rsid w:val="00E04A4A"/>
    <w:rPr>
      <w:rFonts w:ascii="Tahoma" w:hAnsi="Tahoma" w:cs="Tahoma"/>
      <w:sz w:val="16"/>
      <w:szCs w:val="16"/>
    </w:rPr>
  </w:style>
  <w:style w:type="character" w:customStyle="1" w:styleId="CommentTextChar">
    <w:name w:val="Comment Text Char"/>
    <w:link w:val="CommentText"/>
    <w:rsid w:val="00243CE9"/>
    <w:rPr>
      <w:rFonts w:ascii="Calibri" w:eastAsia="Arial" w:hAnsi="Calibri" w:cs="Arial"/>
      <w:color w:val="000000"/>
      <w:spacing w:val="-2"/>
      <w:lang w:eastAsia="en-US"/>
    </w:rPr>
  </w:style>
  <w:style w:type="paragraph" w:styleId="CommentSubject">
    <w:name w:val="annotation subject"/>
    <w:basedOn w:val="CommentText"/>
    <w:next w:val="CommentText"/>
    <w:link w:val="CommentSubjectChar"/>
    <w:rsid w:val="00243CE9"/>
    <w:rPr>
      <w:b/>
      <w:bCs/>
    </w:rPr>
  </w:style>
  <w:style w:type="character" w:customStyle="1" w:styleId="CommentSubjectChar">
    <w:name w:val="Comment Subject Char"/>
    <w:link w:val="CommentSubject"/>
    <w:rsid w:val="00243CE9"/>
    <w:rPr>
      <w:rFonts w:ascii="Calibri" w:eastAsia="Arial" w:hAnsi="Calibri" w:cs="Arial"/>
      <w:b/>
      <w:bCs/>
      <w:color w:val="000000"/>
      <w:spacing w:val="-2"/>
      <w:lang w:eastAsia="en-US"/>
    </w:rPr>
  </w:style>
  <w:style w:type="paragraph" w:styleId="Title">
    <w:name w:val="Title"/>
    <w:basedOn w:val="Normal"/>
    <w:link w:val="TitleChar"/>
    <w:qFormat/>
    <w:rsid w:val="00D05C0A"/>
    <w:pPr>
      <w:jc w:val="center"/>
    </w:pPr>
    <w:rPr>
      <w:rFonts w:ascii="Times New Roman" w:eastAsia="Times New Roman" w:hAnsi="Times New Roman" w:cs="Times New Roman"/>
      <w:b/>
      <w:bCs/>
      <w:color w:val="auto"/>
      <w:spacing w:val="0"/>
      <w:lang w:val="x-none"/>
    </w:rPr>
  </w:style>
  <w:style w:type="character" w:customStyle="1" w:styleId="TitleChar">
    <w:name w:val="Title Char"/>
    <w:link w:val="Title"/>
    <w:rsid w:val="00D05C0A"/>
    <w:rPr>
      <w:b/>
      <w:bCs/>
      <w:sz w:val="24"/>
      <w:szCs w:val="24"/>
      <w:lang w:eastAsia="en-US"/>
    </w:rPr>
  </w:style>
  <w:style w:type="character" w:styleId="Hyperlink">
    <w:name w:val="Hyperlink"/>
    <w:uiPriority w:val="99"/>
    <w:rsid w:val="006E2AB1"/>
    <w:rPr>
      <w:color w:val="0000FF"/>
      <w:u w:val="single"/>
    </w:rPr>
  </w:style>
  <w:style w:type="character" w:styleId="FollowedHyperlink">
    <w:name w:val="FollowedHyperlink"/>
    <w:rsid w:val="00B900A8"/>
    <w:rPr>
      <w:color w:val="800080"/>
      <w:u w:val="single"/>
    </w:rPr>
  </w:style>
  <w:style w:type="paragraph" w:styleId="DocumentMap">
    <w:name w:val="Document Map"/>
    <w:basedOn w:val="Normal"/>
    <w:semiHidden/>
    <w:rsid w:val="00EA1BE8"/>
    <w:pPr>
      <w:shd w:val="clear" w:color="auto" w:fill="000080"/>
    </w:pPr>
    <w:rPr>
      <w:rFonts w:ascii="Tahoma" w:eastAsia="Times New Roman" w:hAnsi="Tahoma" w:cs="Times New Roman"/>
      <w:color w:val="auto"/>
      <w:spacing w:val="0"/>
      <w:szCs w:val="20"/>
    </w:rPr>
  </w:style>
  <w:style w:type="paragraph" w:styleId="TOC1">
    <w:name w:val="toc 1"/>
    <w:basedOn w:val="Normal"/>
    <w:next w:val="Normal"/>
    <w:autoRedefine/>
    <w:uiPriority w:val="39"/>
    <w:rsid w:val="00B47B5E"/>
    <w:rPr>
      <w:b/>
      <w:caps/>
    </w:rPr>
  </w:style>
  <w:style w:type="paragraph" w:styleId="TOC2">
    <w:name w:val="toc 2"/>
    <w:basedOn w:val="Normal"/>
    <w:next w:val="Normal"/>
    <w:autoRedefine/>
    <w:uiPriority w:val="39"/>
    <w:rsid w:val="00B47B5E"/>
    <w:pPr>
      <w:ind w:left="240"/>
    </w:pPr>
  </w:style>
  <w:style w:type="paragraph" w:styleId="TOC3">
    <w:name w:val="toc 3"/>
    <w:basedOn w:val="Normal"/>
    <w:next w:val="Normal"/>
    <w:autoRedefine/>
    <w:uiPriority w:val="39"/>
    <w:rsid w:val="00B47B5E"/>
    <w:pPr>
      <w:ind w:left="480"/>
    </w:pPr>
    <w:rPr>
      <w:i/>
    </w:rPr>
  </w:style>
  <w:style w:type="character" w:customStyle="1" w:styleId="Heading1Char">
    <w:name w:val="Heading 1 Char"/>
    <w:link w:val="Heading1"/>
    <w:rsid w:val="00FA282F"/>
    <w:rPr>
      <w:rFonts w:ascii="Calibri" w:eastAsia="Arial" w:hAnsi="Calibri" w:cs="Arial"/>
      <w:b/>
      <w:color w:val="000000"/>
      <w:spacing w:val="-2"/>
      <w:sz w:val="32"/>
      <w:szCs w:val="32"/>
      <w:lang w:eastAsia="en-US"/>
    </w:rPr>
  </w:style>
  <w:style w:type="paragraph" w:styleId="BodyText">
    <w:name w:val="Body Text"/>
    <w:basedOn w:val="Normal"/>
    <w:link w:val="BodyTextChar"/>
    <w:rsid w:val="0080239B"/>
    <w:rPr>
      <w:rFonts w:ascii="Agfa Rotis Semisans" w:eastAsia="Times New Roman" w:hAnsi="Agfa Rotis Semisans" w:cs="Times New Roman"/>
      <w:b/>
      <w:spacing w:val="0"/>
      <w:sz w:val="22"/>
      <w:szCs w:val="20"/>
    </w:rPr>
  </w:style>
  <w:style w:type="character" w:customStyle="1" w:styleId="BodyTextChar">
    <w:name w:val="Body Text Char"/>
    <w:basedOn w:val="DefaultParagraphFont"/>
    <w:link w:val="BodyText"/>
    <w:rsid w:val="0080239B"/>
    <w:rPr>
      <w:rFonts w:ascii="Agfa Rotis Semisans" w:hAnsi="Agfa Rotis Semisans"/>
      <w:b/>
      <w:color w:val="000000"/>
      <w:sz w:val="22"/>
      <w:lang w:eastAsia="en-US"/>
    </w:rPr>
  </w:style>
  <w:style w:type="paragraph" w:styleId="PlainText">
    <w:name w:val="Plain Text"/>
    <w:basedOn w:val="Normal"/>
    <w:link w:val="PlainTextChar"/>
    <w:rsid w:val="0080239B"/>
    <w:rPr>
      <w:rFonts w:ascii="Courier New" w:eastAsia="Times New Roman" w:hAnsi="Courier New" w:cs="Times New Roman"/>
      <w:color w:val="auto"/>
      <w:spacing w:val="0"/>
      <w:sz w:val="20"/>
      <w:szCs w:val="20"/>
    </w:rPr>
  </w:style>
  <w:style w:type="character" w:customStyle="1" w:styleId="PlainTextChar">
    <w:name w:val="Plain Text Char"/>
    <w:basedOn w:val="DefaultParagraphFont"/>
    <w:link w:val="PlainText"/>
    <w:rsid w:val="0080239B"/>
    <w:rPr>
      <w:rFonts w:ascii="Courier New" w:hAnsi="Courier New"/>
      <w:lang w:eastAsia="en-US"/>
    </w:rPr>
  </w:style>
  <w:style w:type="paragraph" w:customStyle="1" w:styleId="Style">
    <w:name w:val="Style"/>
    <w:rsid w:val="0080239B"/>
    <w:pPr>
      <w:widowControl w:val="0"/>
      <w:autoSpaceDE w:val="0"/>
      <w:autoSpaceDN w:val="0"/>
      <w:adjustRightInd w:val="0"/>
    </w:pPr>
    <w:rPr>
      <w:rFonts w:ascii="Arial" w:hAnsi="Arial" w:cs="Arial"/>
      <w:sz w:val="24"/>
      <w:szCs w:val="24"/>
    </w:rPr>
  </w:style>
  <w:style w:type="paragraph" w:styleId="ListParagraph">
    <w:name w:val="List Paragraph"/>
    <w:basedOn w:val="Normal"/>
    <w:uiPriority w:val="99"/>
    <w:qFormat/>
    <w:rsid w:val="0080239B"/>
    <w:pPr>
      <w:ind w:left="720"/>
      <w:contextualSpacing/>
    </w:pPr>
    <w:rPr>
      <w:rFonts w:ascii="Times New Roman" w:eastAsia="Times New Roman" w:hAnsi="Times New Roman" w:cs="Times New Roman"/>
      <w:color w:val="auto"/>
      <w:spacing w:val="0"/>
      <w:sz w:val="22"/>
      <w:szCs w:val="20"/>
    </w:rPr>
  </w:style>
  <w:style w:type="paragraph" w:customStyle="1" w:styleId="FPMredflyer">
    <w:name w:val="FPM red flyer"/>
    <w:basedOn w:val="Normal"/>
    <w:rsid w:val="00914FAE"/>
    <w:pPr>
      <w:jc w:val="center"/>
    </w:pPr>
    <w:rPr>
      <w:rFonts w:ascii="Tahoma" w:eastAsia="Times New Roman" w:hAnsi="Tahoma" w:cs="Tahoma"/>
      <w:b/>
      <w:bCs/>
      <w:color w:val="FF0000"/>
      <w:spacing w:val="0"/>
    </w:rPr>
  </w:style>
  <w:style w:type="paragraph" w:styleId="NormalWeb">
    <w:name w:val="Normal (Web)"/>
    <w:basedOn w:val="Normal"/>
    <w:rsid w:val="00914FAE"/>
    <w:pPr>
      <w:spacing w:before="100" w:beforeAutospacing="1" w:after="100" w:afterAutospacing="1"/>
    </w:pPr>
    <w:rPr>
      <w:rFonts w:ascii="Arial Unicode MS" w:eastAsia="Arial Unicode MS" w:hAnsi="Arial Unicode MS" w:cs="Times New Roman"/>
      <w:color w:val="auto"/>
      <w:spacing w:val="0"/>
    </w:rPr>
  </w:style>
  <w:style w:type="paragraph" w:styleId="BodyText2">
    <w:name w:val="Body Text 2"/>
    <w:basedOn w:val="Normal"/>
    <w:link w:val="BodyText2Char"/>
    <w:rsid w:val="008233ED"/>
    <w:pPr>
      <w:spacing w:after="120" w:line="480" w:lineRule="auto"/>
    </w:pPr>
  </w:style>
  <w:style w:type="character" w:customStyle="1" w:styleId="BodyText2Char">
    <w:name w:val="Body Text 2 Char"/>
    <w:basedOn w:val="DefaultParagraphFont"/>
    <w:link w:val="BodyText2"/>
    <w:rsid w:val="008233ED"/>
    <w:rPr>
      <w:rFonts w:ascii="Calibri" w:eastAsia="Arial" w:hAnsi="Calibri" w:cs="Arial"/>
      <w:color w:val="000000"/>
      <w:spacing w:val="-2"/>
      <w:sz w:val="24"/>
      <w:szCs w:val="24"/>
      <w:lang w:eastAsia="en-US"/>
    </w:rPr>
  </w:style>
  <w:style w:type="paragraph" w:customStyle="1" w:styleId="Default">
    <w:name w:val="Default"/>
    <w:rsid w:val="008233ED"/>
    <w:pPr>
      <w:autoSpaceDE w:val="0"/>
      <w:autoSpaceDN w:val="0"/>
      <w:adjustRightInd w:val="0"/>
    </w:pPr>
    <w:rPr>
      <w:rFonts w:ascii="Helvetica 55 Roman" w:hAnsi="Helvetica 55 Roman" w:cs="Helvetica 55 Roman"/>
      <w:color w:val="000000"/>
      <w:sz w:val="24"/>
      <w:szCs w:val="24"/>
      <w:lang w:val="en-US" w:eastAsia="en-US"/>
    </w:rPr>
  </w:style>
  <w:style w:type="paragraph" w:styleId="BodyTextIndent">
    <w:name w:val="Body Text Indent"/>
    <w:basedOn w:val="Normal"/>
    <w:link w:val="BodyTextIndentChar"/>
    <w:unhideWhenUsed/>
    <w:rsid w:val="008233ED"/>
    <w:pPr>
      <w:spacing w:after="120"/>
      <w:ind w:left="283"/>
    </w:pPr>
    <w:rPr>
      <w:rFonts w:ascii="Times New Roman" w:eastAsia="Times New Roman" w:hAnsi="Times New Roman" w:cs="Times New Roman"/>
      <w:spacing w:val="0"/>
      <w:kern w:val="28"/>
      <w:sz w:val="20"/>
      <w:szCs w:val="20"/>
      <w:lang w:eastAsia="en-GB"/>
    </w:rPr>
  </w:style>
  <w:style w:type="character" w:customStyle="1" w:styleId="BodyTextIndentChar">
    <w:name w:val="Body Text Indent Char"/>
    <w:basedOn w:val="DefaultParagraphFont"/>
    <w:link w:val="BodyTextIndent"/>
    <w:rsid w:val="008233ED"/>
    <w:rPr>
      <w:color w:val="000000"/>
      <w:kern w:val="28"/>
    </w:rPr>
  </w:style>
  <w:style w:type="character" w:styleId="Emphasis">
    <w:name w:val="Emphasis"/>
    <w:qFormat/>
    <w:rsid w:val="008233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091766">
      <w:bodyDiv w:val="1"/>
      <w:marLeft w:val="0"/>
      <w:marRight w:val="0"/>
      <w:marTop w:val="0"/>
      <w:marBottom w:val="0"/>
      <w:divBdr>
        <w:top w:val="none" w:sz="0" w:space="0" w:color="auto"/>
        <w:left w:val="none" w:sz="0" w:space="0" w:color="auto"/>
        <w:bottom w:val="none" w:sz="0" w:space="0" w:color="auto"/>
        <w:right w:val="none" w:sz="0" w:space="0" w:color="auto"/>
      </w:divBdr>
    </w:div>
    <w:div w:id="131788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rook.IQ\Application%20Data\Microsoft\Templates\01-CQC%20Master%20Policy%20Template.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91E7F27-8CE0-4314-A43B-73B0C5AD8D1E}" type="doc">
      <dgm:prSet loTypeId="urn:microsoft.com/office/officeart/2005/8/layout/cycle1" loCatId="cycle" qsTypeId="urn:microsoft.com/office/officeart/2005/8/quickstyle/simple1" qsCatId="simple" csTypeId="urn:microsoft.com/office/officeart/2005/8/colors/accent1_2" csCatId="accent1" phldr="1"/>
      <dgm:spPr/>
      <dgm:t>
        <a:bodyPr/>
        <a:lstStyle/>
        <a:p>
          <a:endParaRPr lang="en-GB"/>
        </a:p>
      </dgm:t>
    </dgm:pt>
    <dgm:pt modelId="{16F043BD-8CBF-45B4-A064-16CDE721146B}">
      <dgm:prSet phldrT="[Text]" custT="1"/>
      <dgm:spPr>
        <a:xfrm>
          <a:off x="2033631" y="48207"/>
          <a:ext cx="1139070" cy="779896"/>
        </a:xfrm>
        <a:noFill/>
        <a:ln>
          <a:noFill/>
        </a:ln>
        <a:effectLst/>
      </dgm:spPr>
      <dgm:t>
        <a:bodyPr/>
        <a:lstStyle/>
        <a:p>
          <a:pPr algn="ctr"/>
          <a:r>
            <a:rPr lang="en-GB" sz="1600">
              <a:solidFill>
                <a:sysClr val="windowText" lastClr="000000">
                  <a:hueOff val="0"/>
                  <a:satOff val="0"/>
                  <a:lumOff val="0"/>
                  <a:alphaOff val="0"/>
                </a:sysClr>
              </a:solidFill>
              <a:latin typeface="Calibri" panose="020F0502020204030204"/>
              <a:ea typeface="+mn-ea"/>
              <a:cs typeface="+mn-cs"/>
            </a:rPr>
            <a:t>Do</a:t>
          </a:r>
        </a:p>
        <a:p>
          <a:pPr algn="ctr"/>
          <a:r>
            <a:rPr lang="en-GB" sz="1000">
              <a:solidFill>
                <a:sysClr val="windowText" lastClr="000000">
                  <a:hueOff val="0"/>
                  <a:satOff val="0"/>
                  <a:lumOff val="0"/>
                  <a:alphaOff val="0"/>
                </a:sysClr>
              </a:solidFill>
              <a:latin typeface="Calibri" panose="020F0502020204030204"/>
              <a:ea typeface="+mn-ea"/>
              <a:cs typeface="+mn-cs"/>
            </a:rPr>
            <a:t>Implement and operate the ISMS</a:t>
          </a:r>
        </a:p>
      </dgm:t>
    </dgm:pt>
    <dgm:pt modelId="{D77DB156-629C-4224-8A8D-DE8782DAC72D}" type="parTrans" cxnId="{598D3D6F-3002-4384-9208-6BAA62432F93}">
      <dgm:prSet/>
      <dgm:spPr/>
      <dgm:t>
        <a:bodyPr/>
        <a:lstStyle/>
        <a:p>
          <a:pPr algn="ctr"/>
          <a:endParaRPr lang="en-GB"/>
        </a:p>
      </dgm:t>
    </dgm:pt>
    <dgm:pt modelId="{B515C2C9-0371-4A82-81C6-64A758078A81}" type="sibTrans" cxnId="{598D3D6F-3002-4384-9208-6BAA62432F93}">
      <dgm:prSet/>
      <dgm:spPr>
        <a:xfrm>
          <a:off x="840248" y="-799"/>
          <a:ext cx="2201873" cy="220187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endParaRPr lang="en-GB"/>
        </a:p>
      </dgm:t>
    </dgm:pt>
    <dgm:pt modelId="{57CB8462-75A5-48E8-9F2A-AF9790EA3EA6}">
      <dgm:prSet phldrT="[Text]" custT="1"/>
      <dgm:spPr>
        <a:xfrm>
          <a:off x="2143406" y="1372171"/>
          <a:ext cx="919521" cy="779896"/>
        </a:xfrm>
        <a:noFill/>
        <a:ln>
          <a:noFill/>
        </a:ln>
        <a:effectLst/>
      </dgm:spPr>
      <dgm:t>
        <a:bodyPr/>
        <a:lstStyle/>
        <a:p>
          <a:pPr algn="ctr"/>
          <a:r>
            <a:rPr lang="en-GB" sz="1600">
              <a:solidFill>
                <a:sysClr val="windowText" lastClr="000000">
                  <a:hueOff val="0"/>
                  <a:satOff val="0"/>
                  <a:lumOff val="0"/>
                  <a:alphaOff val="0"/>
                </a:sysClr>
              </a:solidFill>
              <a:latin typeface="Calibri" panose="020F0502020204030204"/>
              <a:ea typeface="+mn-ea"/>
              <a:cs typeface="+mn-cs"/>
            </a:rPr>
            <a:t>Check</a:t>
          </a:r>
          <a:br>
            <a:rPr lang="en-GB" sz="1600">
              <a:solidFill>
                <a:sysClr val="windowText" lastClr="000000">
                  <a:hueOff val="0"/>
                  <a:satOff val="0"/>
                  <a:lumOff val="0"/>
                  <a:alphaOff val="0"/>
                </a:sysClr>
              </a:solidFill>
              <a:latin typeface="Calibri" panose="020F0502020204030204"/>
              <a:ea typeface="+mn-ea"/>
              <a:cs typeface="+mn-cs"/>
            </a:rPr>
          </a:br>
          <a:r>
            <a:rPr lang="en-GB" sz="1000">
              <a:solidFill>
                <a:sysClr val="windowText" lastClr="000000">
                  <a:hueOff val="0"/>
                  <a:satOff val="0"/>
                  <a:lumOff val="0"/>
                  <a:alphaOff val="0"/>
                </a:sysClr>
              </a:solidFill>
              <a:latin typeface="Calibri" panose="020F0502020204030204"/>
              <a:ea typeface="+mn-ea"/>
              <a:cs typeface="+mn-cs"/>
            </a:rPr>
            <a:t>Monitor and review the ISMS</a:t>
          </a:r>
        </a:p>
      </dgm:t>
    </dgm:pt>
    <dgm:pt modelId="{ABEF2EF6-667C-4C0C-9D2D-E692818ADB41}" type="parTrans" cxnId="{7C5AE090-7626-4D20-8A93-DC041EF4A620}">
      <dgm:prSet/>
      <dgm:spPr/>
      <dgm:t>
        <a:bodyPr/>
        <a:lstStyle/>
        <a:p>
          <a:pPr algn="ctr"/>
          <a:endParaRPr lang="en-GB"/>
        </a:p>
      </dgm:t>
    </dgm:pt>
    <dgm:pt modelId="{758F1964-62FB-4DB2-8613-C5507978D0FE}" type="sibTrans" cxnId="{7C5AE090-7626-4D20-8A93-DC041EF4A620}">
      <dgm:prSet/>
      <dgm:spPr>
        <a:xfrm>
          <a:off x="840248" y="-799"/>
          <a:ext cx="2201873" cy="220187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endParaRPr lang="en-GB"/>
        </a:p>
      </dgm:t>
    </dgm:pt>
    <dgm:pt modelId="{A7E63029-2771-469E-AC68-67D18AC8D549}">
      <dgm:prSet phldrT="[Text]" custT="1"/>
      <dgm:spPr>
        <a:xfrm>
          <a:off x="742072" y="1372171"/>
          <a:ext cx="1074260" cy="779896"/>
        </a:xfrm>
        <a:noFill/>
        <a:ln>
          <a:noFill/>
        </a:ln>
        <a:effectLst/>
      </dgm:spPr>
      <dgm:t>
        <a:bodyPr/>
        <a:lstStyle/>
        <a:p>
          <a:pPr algn="ctr"/>
          <a:endParaRPr lang="en-GB" sz="1000">
            <a:solidFill>
              <a:sysClr val="windowText" lastClr="000000">
                <a:hueOff val="0"/>
                <a:satOff val="0"/>
                <a:lumOff val="0"/>
                <a:alphaOff val="0"/>
              </a:sysClr>
            </a:solidFill>
            <a:latin typeface="Calibri" panose="020F0502020204030204"/>
            <a:ea typeface="+mn-ea"/>
            <a:cs typeface="+mn-cs"/>
          </a:endParaRPr>
        </a:p>
        <a:p>
          <a:pPr algn="ctr"/>
          <a:endParaRPr lang="en-GB" sz="1000">
            <a:solidFill>
              <a:sysClr val="windowText" lastClr="000000">
                <a:hueOff val="0"/>
                <a:satOff val="0"/>
                <a:lumOff val="0"/>
                <a:alphaOff val="0"/>
              </a:sysClr>
            </a:solidFill>
            <a:latin typeface="Calibri" panose="020F0502020204030204"/>
            <a:ea typeface="+mn-ea"/>
            <a:cs typeface="+mn-cs"/>
          </a:endParaRPr>
        </a:p>
        <a:p>
          <a:pPr algn="ctr"/>
          <a:endParaRPr lang="en-GB" sz="1000">
            <a:solidFill>
              <a:sysClr val="windowText" lastClr="000000">
                <a:hueOff val="0"/>
                <a:satOff val="0"/>
                <a:lumOff val="0"/>
                <a:alphaOff val="0"/>
              </a:sysClr>
            </a:solidFill>
            <a:latin typeface="Calibri" panose="020F0502020204030204"/>
            <a:ea typeface="+mn-ea"/>
            <a:cs typeface="+mn-cs"/>
          </a:endParaRPr>
        </a:p>
        <a:p>
          <a:pPr algn="ctr"/>
          <a:r>
            <a:rPr lang="en-GB" sz="1600">
              <a:solidFill>
                <a:sysClr val="windowText" lastClr="000000">
                  <a:hueOff val="0"/>
                  <a:satOff val="0"/>
                  <a:lumOff val="0"/>
                  <a:alphaOff val="0"/>
                </a:sysClr>
              </a:solidFill>
              <a:latin typeface="Calibri" panose="020F0502020204030204"/>
              <a:ea typeface="+mn-ea"/>
              <a:cs typeface="+mn-cs"/>
            </a:rPr>
            <a:t>Act</a:t>
          </a:r>
        </a:p>
        <a:p>
          <a:pPr algn="ctr"/>
          <a:r>
            <a:rPr lang="en-GB" sz="1000">
              <a:solidFill>
                <a:sysClr val="windowText" lastClr="000000">
                  <a:hueOff val="0"/>
                  <a:satOff val="0"/>
                  <a:lumOff val="0"/>
                  <a:alphaOff val="0"/>
                </a:sysClr>
              </a:solidFill>
              <a:latin typeface="Calibri" panose="020F0502020204030204"/>
              <a:ea typeface="+mn-ea"/>
              <a:cs typeface="+mn-cs"/>
            </a:rPr>
            <a:t>Maintain and improve the ISMS</a:t>
          </a:r>
          <a:br>
            <a:rPr lang="en-GB" sz="1600">
              <a:solidFill>
                <a:sysClr val="windowText" lastClr="000000">
                  <a:hueOff val="0"/>
                  <a:satOff val="0"/>
                  <a:lumOff val="0"/>
                  <a:alphaOff val="0"/>
                </a:sysClr>
              </a:solidFill>
              <a:latin typeface="Calibri" panose="020F0502020204030204"/>
              <a:ea typeface="+mn-ea"/>
              <a:cs typeface="+mn-cs"/>
            </a:rPr>
          </a:br>
          <a:r>
            <a:rPr lang="en-GB" sz="3300">
              <a:solidFill>
                <a:sysClr val="windowText" lastClr="000000">
                  <a:hueOff val="0"/>
                  <a:satOff val="0"/>
                  <a:lumOff val="0"/>
                  <a:alphaOff val="0"/>
                </a:sysClr>
              </a:solidFill>
              <a:latin typeface="Calibri" panose="020F0502020204030204"/>
              <a:ea typeface="+mn-ea"/>
              <a:cs typeface="+mn-cs"/>
            </a:rPr>
            <a:t> </a:t>
          </a:r>
        </a:p>
      </dgm:t>
    </dgm:pt>
    <dgm:pt modelId="{959826EA-71D1-43FE-9EB5-FEEDA7DFFD85}" type="parTrans" cxnId="{AF2E3AB4-8F3E-4C41-BFF8-DF95CADD54C2}">
      <dgm:prSet/>
      <dgm:spPr/>
      <dgm:t>
        <a:bodyPr/>
        <a:lstStyle/>
        <a:p>
          <a:pPr algn="ctr"/>
          <a:endParaRPr lang="en-GB"/>
        </a:p>
      </dgm:t>
    </dgm:pt>
    <dgm:pt modelId="{25B5B8DF-FBA8-415A-8D5E-0AFCCDACF960}" type="sibTrans" cxnId="{AF2E3AB4-8F3E-4C41-BFF8-DF95CADD54C2}">
      <dgm:prSet/>
      <dgm:spPr>
        <a:xfrm>
          <a:off x="840248" y="-799"/>
          <a:ext cx="2201873" cy="220187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endParaRPr lang="en-GB"/>
        </a:p>
      </dgm:t>
    </dgm:pt>
    <dgm:pt modelId="{737C63FC-0DFF-41AB-A52D-EFE92745D5E8}">
      <dgm:prSet phldrT="[Text]" custT="1"/>
      <dgm:spPr>
        <a:xfrm>
          <a:off x="889255" y="48207"/>
          <a:ext cx="779896" cy="779896"/>
        </a:xfrm>
        <a:noFill/>
        <a:ln>
          <a:noFill/>
        </a:ln>
        <a:effectLst/>
      </dgm:spPr>
      <dgm:t>
        <a:bodyPr/>
        <a:lstStyle/>
        <a:p>
          <a:pPr algn="ctr"/>
          <a:r>
            <a:rPr lang="en-GB" sz="1600">
              <a:solidFill>
                <a:sysClr val="windowText" lastClr="000000">
                  <a:hueOff val="0"/>
                  <a:satOff val="0"/>
                  <a:lumOff val="0"/>
                  <a:alphaOff val="0"/>
                </a:sysClr>
              </a:solidFill>
              <a:latin typeface="Calibri" panose="020F0502020204030204"/>
              <a:ea typeface="+mn-ea"/>
              <a:cs typeface="+mn-cs"/>
            </a:rPr>
            <a:t>Plan</a:t>
          </a:r>
        </a:p>
        <a:p>
          <a:pPr algn="ctr"/>
          <a:r>
            <a:rPr lang="en-GB" sz="1000">
              <a:solidFill>
                <a:sysClr val="windowText" lastClr="000000">
                  <a:hueOff val="0"/>
                  <a:satOff val="0"/>
                  <a:lumOff val="0"/>
                  <a:alphaOff val="0"/>
                </a:sysClr>
              </a:solidFill>
              <a:latin typeface="Calibri" panose="020F0502020204030204"/>
              <a:ea typeface="+mn-ea"/>
              <a:cs typeface="+mn-cs"/>
            </a:rPr>
            <a:t>Establish the ISMS</a:t>
          </a:r>
        </a:p>
      </dgm:t>
    </dgm:pt>
    <dgm:pt modelId="{FE6D1922-0F8B-492B-80AC-971C179A3B9D}" type="parTrans" cxnId="{12DCD528-9C0B-4444-A782-9F9F475BE243}">
      <dgm:prSet/>
      <dgm:spPr/>
      <dgm:t>
        <a:bodyPr/>
        <a:lstStyle/>
        <a:p>
          <a:pPr algn="ctr"/>
          <a:endParaRPr lang="en-GB"/>
        </a:p>
      </dgm:t>
    </dgm:pt>
    <dgm:pt modelId="{C2565FA1-5F2E-4BEA-A016-787350A1AC19}" type="sibTrans" cxnId="{12DCD528-9C0B-4444-A782-9F9F475BE243}">
      <dgm:prSet/>
      <dgm:spPr>
        <a:xfrm>
          <a:off x="840248" y="-799"/>
          <a:ext cx="2201873" cy="220187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endParaRPr lang="en-GB"/>
        </a:p>
      </dgm:t>
    </dgm:pt>
    <dgm:pt modelId="{9CDCC8C5-D849-4F7A-832B-765069242C70}" type="pres">
      <dgm:prSet presAssocID="{991E7F27-8CE0-4314-A43B-73B0C5AD8D1E}" presName="cycle" presStyleCnt="0">
        <dgm:presLayoutVars>
          <dgm:dir/>
          <dgm:resizeHandles val="exact"/>
        </dgm:presLayoutVars>
      </dgm:prSet>
      <dgm:spPr/>
    </dgm:pt>
    <dgm:pt modelId="{ABA1E7FF-A5C7-4087-80ED-64EC681E5849}" type="pres">
      <dgm:prSet presAssocID="{16F043BD-8CBF-45B4-A064-16CDE721146B}" presName="dummy" presStyleCnt="0"/>
      <dgm:spPr/>
    </dgm:pt>
    <dgm:pt modelId="{4BB4FD15-4A45-4A8E-AA09-7001C5DB688B}" type="pres">
      <dgm:prSet presAssocID="{16F043BD-8CBF-45B4-A064-16CDE721146B}" presName="node" presStyleLbl="revTx" presStyleIdx="0" presStyleCnt="4" custScaleX="146054">
        <dgm:presLayoutVars>
          <dgm:bulletEnabled val="1"/>
        </dgm:presLayoutVars>
      </dgm:prSet>
      <dgm:spPr>
        <a:prstGeom prst="rect">
          <a:avLst/>
        </a:prstGeom>
      </dgm:spPr>
    </dgm:pt>
    <dgm:pt modelId="{EDAC52CA-03D9-4076-9A75-805B06AA1E3A}" type="pres">
      <dgm:prSet presAssocID="{B515C2C9-0371-4A82-81C6-64A758078A81}" presName="sibTrans" presStyleLbl="node1" presStyleIdx="0" presStyleCnt="4"/>
      <dgm:spPr>
        <a:prstGeom prst="circularArrow">
          <a:avLst>
            <a:gd name="adj1" fmla="val 6907"/>
            <a:gd name="adj2" fmla="val 465731"/>
            <a:gd name="adj3" fmla="val 547819"/>
            <a:gd name="adj4" fmla="val 20586450"/>
            <a:gd name="adj5" fmla="val 8058"/>
          </a:avLst>
        </a:prstGeom>
      </dgm:spPr>
    </dgm:pt>
    <dgm:pt modelId="{6B07DF04-2593-4CBF-8273-9D8A0E615367}" type="pres">
      <dgm:prSet presAssocID="{57CB8462-75A5-48E8-9F2A-AF9790EA3EA6}" presName="dummy" presStyleCnt="0"/>
      <dgm:spPr/>
    </dgm:pt>
    <dgm:pt modelId="{3C4E426F-9A68-4B24-B33C-917138F20EE5}" type="pres">
      <dgm:prSet presAssocID="{57CB8462-75A5-48E8-9F2A-AF9790EA3EA6}" presName="node" presStyleLbl="revTx" presStyleIdx="1" presStyleCnt="4" custScaleX="117903">
        <dgm:presLayoutVars>
          <dgm:bulletEnabled val="1"/>
        </dgm:presLayoutVars>
      </dgm:prSet>
      <dgm:spPr>
        <a:prstGeom prst="rect">
          <a:avLst/>
        </a:prstGeom>
      </dgm:spPr>
    </dgm:pt>
    <dgm:pt modelId="{527C1B3D-7716-4FAE-899E-5834BAEA2A18}" type="pres">
      <dgm:prSet presAssocID="{758F1964-62FB-4DB2-8613-C5507978D0FE}" presName="sibTrans" presStyleLbl="node1" presStyleIdx="1" presStyleCnt="4"/>
      <dgm:spPr>
        <a:prstGeom prst="circularArrow">
          <a:avLst>
            <a:gd name="adj1" fmla="val 6907"/>
            <a:gd name="adj2" fmla="val 465731"/>
            <a:gd name="adj3" fmla="val 5394104"/>
            <a:gd name="adj4" fmla="val 4651528"/>
            <a:gd name="adj5" fmla="val 8058"/>
          </a:avLst>
        </a:prstGeom>
      </dgm:spPr>
    </dgm:pt>
    <dgm:pt modelId="{A18B20B1-D9F2-4CA0-8DF8-D76AC707E5FE}" type="pres">
      <dgm:prSet presAssocID="{A7E63029-2771-469E-AC68-67D18AC8D549}" presName="dummy" presStyleCnt="0"/>
      <dgm:spPr/>
    </dgm:pt>
    <dgm:pt modelId="{F7E9FC53-E179-41FE-AB4D-EE74FED4CC6F}" type="pres">
      <dgm:prSet presAssocID="{A7E63029-2771-469E-AC68-67D18AC8D549}" presName="node" presStyleLbl="revTx" presStyleIdx="2" presStyleCnt="4" custScaleX="137744">
        <dgm:presLayoutVars>
          <dgm:bulletEnabled val="1"/>
        </dgm:presLayoutVars>
      </dgm:prSet>
      <dgm:spPr>
        <a:prstGeom prst="rect">
          <a:avLst/>
        </a:prstGeom>
      </dgm:spPr>
    </dgm:pt>
    <dgm:pt modelId="{6CA1641E-0442-4D02-A5FA-351A999EAC2B}" type="pres">
      <dgm:prSet presAssocID="{25B5B8DF-FBA8-415A-8D5E-0AFCCDACF960}" presName="sibTrans" presStyleLbl="node1" presStyleIdx="2" presStyleCnt="4"/>
      <dgm:spPr>
        <a:prstGeom prst="circularArrow">
          <a:avLst>
            <a:gd name="adj1" fmla="val 6907"/>
            <a:gd name="adj2" fmla="val 465731"/>
            <a:gd name="adj3" fmla="val 11347819"/>
            <a:gd name="adj4" fmla="val 9786450"/>
            <a:gd name="adj5" fmla="val 8058"/>
          </a:avLst>
        </a:prstGeom>
      </dgm:spPr>
    </dgm:pt>
    <dgm:pt modelId="{2CBD176B-5346-44AA-AF6C-64486A6DB921}" type="pres">
      <dgm:prSet presAssocID="{737C63FC-0DFF-41AB-A52D-EFE92745D5E8}" presName="dummy" presStyleCnt="0"/>
      <dgm:spPr/>
    </dgm:pt>
    <dgm:pt modelId="{A6B3D079-AC17-4F54-804F-1B73FD8E070E}" type="pres">
      <dgm:prSet presAssocID="{737C63FC-0DFF-41AB-A52D-EFE92745D5E8}" presName="node" presStyleLbl="revTx" presStyleIdx="3" presStyleCnt="4">
        <dgm:presLayoutVars>
          <dgm:bulletEnabled val="1"/>
        </dgm:presLayoutVars>
      </dgm:prSet>
      <dgm:spPr>
        <a:prstGeom prst="rect">
          <a:avLst/>
        </a:prstGeom>
      </dgm:spPr>
    </dgm:pt>
    <dgm:pt modelId="{970FCC38-041B-47EE-96D7-392495752618}" type="pres">
      <dgm:prSet presAssocID="{C2565FA1-5F2E-4BEA-A016-787350A1AC19}" presName="sibTrans" presStyleLbl="node1" presStyleIdx="3" presStyleCnt="4"/>
      <dgm:spPr>
        <a:prstGeom prst="circularArrow">
          <a:avLst>
            <a:gd name="adj1" fmla="val 6907"/>
            <a:gd name="adj2" fmla="val 465731"/>
            <a:gd name="adj3" fmla="val 16074295"/>
            <a:gd name="adj4" fmla="val 15186450"/>
            <a:gd name="adj5" fmla="val 8058"/>
          </a:avLst>
        </a:prstGeom>
      </dgm:spPr>
    </dgm:pt>
  </dgm:ptLst>
  <dgm:cxnLst>
    <dgm:cxn modelId="{0469700A-9FD5-40E5-A2E4-99F206588EFF}" type="presOf" srcId="{B515C2C9-0371-4A82-81C6-64A758078A81}" destId="{EDAC52CA-03D9-4076-9A75-805B06AA1E3A}" srcOrd="0" destOrd="0" presId="urn:microsoft.com/office/officeart/2005/8/layout/cycle1"/>
    <dgm:cxn modelId="{11CFC612-EA34-4536-92C7-659EE0957804}" type="presOf" srcId="{737C63FC-0DFF-41AB-A52D-EFE92745D5E8}" destId="{A6B3D079-AC17-4F54-804F-1B73FD8E070E}" srcOrd="0" destOrd="0" presId="urn:microsoft.com/office/officeart/2005/8/layout/cycle1"/>
    <dgm:cxn modelId="{E10C921F-290C-46F7-8652-2AE3BA52347D}" type="presOf" srcId="{991E7F27-8CE0-4314-A43B-73B0C5AD8D1E}" destId="{9CDCC8C5-D849-4F7A-832B-765069242C70}" srcOrd="0" destOrd="0" presId="urn:microsoft.com/office/officeart/2005/8/layout/cycle1"/>
    <dgm:cxn modelId="{12DCD528-9C0B-4444-A782-9F9F475BE243}" srcId="{991E7F27-8CE0-4314-A43B-73B0C5AD8D1E}" destId="{737C63FC-0DFF-41AB-A52D-EFE92745D5E8}" srcOrd="3" destOrd="0" parTransId="{FE6D1922-0F8B-492B-80AC-971C179A3B9D}" sibTransId="{C2565FA1-5F2E-4BEA-A016-787350A1AC19}"/>
    <dgm:cxn modelId="{1C087A2E-BBF6-4A16-BC8F-0EC8B6A73346}" type="presOf" srcId="{C2565FA1-5F2E-4BEA-A016-787350A1AC19}" destId="{970FCC38-041B-47EE-96D7-392495752618}" srcOrd="0" destOrd="0" presId="urn:microsoft.com/office/officeart/2005/8/layout/cycle1"/>
    <dgm:cxn modelId="{598D3D6F-3002-4384-9208-6BAA62432F93}" srcId="{991E7F27-8CE0-4314-A43B-73B0C5AD8D1E}" destId="{16F043BD-8CBF-45B4-A064-16CDE721146B}" srcOrd="0" destOrd="0" parTransId="{D77DB156-629C-4224-8A8D-DE8782DAC72D}" sibTransId="{B515C2C9-0371-4A82-81C6-64A758078A81}"/>
    <dgm:cxn modelId="{EE14D87F-1BED-4E07-B0A3-6E515B8DC7AA}" type="presOf" srcId="{25B5B8DF-FBA8-415A-8D5E-0AFCCDACF960}" destId="{6CA1641E-0442-4D02-A5FA-351A999EAC2B}" srcOrd="0" destOrd="0" presId="urn:microsoft.com/office/officeart/2005/8/layout/cycle1"/>
    <dgm:cxn modelId="{7C5AE090-7626-4D20-8A93-DC041EF4A620}" srcId="{991E7F27-8CE0-4314-A43B-73B0C5AD8D1E}" destId="{57CB8462-75A5-48E8-9F2A-AF9790EA3EA6}" srcOrd="1" destOrd="0" parTransId="{ABEF2EF6-667C-4C0C-9D2D-E692818ADB41}" sibTransId="{758F1964-62FB-4DB2-8613-C5507978D0FE}"/>
    <dgm:cxn modelId="{A5AEE6A3-9A7E-419B-A013-8045DB155B35}" type="presOf" srcId="{A7E63029-2771-469E-AC68-67D18AC8D549}" destId="{F7E9FC53-E179-41FE-AB4D-EE74FED4CC6F}" srcOrd="0" destOrd="0" presId="urn:microsoft.com/office/officeart/2005/8/layout/cycle1"/>
    <dgm:cxn modelId="{AF2E3AB4-8F3E-4C41-BFF8-DF95CADD54C2}" srcId="{991E7F27-8CE0-4314-A43B-73B0C5AD8D1E}" destId="{A7E63029-2771-469E-AC68-67D18AC8D549}" srcOrd="2" destOrd="0" parTransId="{959826EA-71D1-43FE-9EB5-FEEDA7DFFD85}" sibTransId="{25B5B8DF-FBA8-415A-8D5E-0AFCCDACF960}"/>
    <dgm:cxn modelId="{B3EEFCCA-6F52-444C-9F3D-423AD691800B}" type="presOf" srcId="{57CB8462-75A5-48E8-9F2A-AF9790EA3EA6}" destId="{3C4E426F-9A68-4B24-B33C-917138F20EE5}" srcOrd="0" destOrd="0" presId="urn:microsoft.com/office/officeart/2005/8/layout/cycle1"/>
    <dgm:cxn modelId="{D3BF52CE-C4C1-444D-8965-86CDAC0FEAE2}" type="presOf" srcId="{16F043BD-8CBF-45B4-A064-16CDE721146B}" destId="{4BB4FD15-4A45-4A8E-AA09-7001C5DB688B}" srcOrd="0" destOrd="0" presId="urn:microsoft.com/office/officeart/2005/8/layout/cycle1"/>
    <dgm:cxn modelId="{184D7DD5-6501-4980-9914-D7930E6E152B}" type="presOf" srcId="{758F1964-62FB-4DB2-8613-C5507978D0FE}" destId="{527C1B3D-7716-4FAE-899E-5834BAEA2A18}" srcOrd="0" destOrd="0" presId="urn:microsoft.com/office/officeart/2005/8/layout/cycle1"/>
    <dgm:cxn modelId="{49B6F996-FE40-4054-9765-3EB70EB95712}" type="presParOf" srcId="{9CDCC8C5-D849-4F7A-832B-765069242C70}" destId="{ABA1E7FF-A5C7-4087-80ED-64EC681E5849}" srcOrd="0" destOrd="0" presId="urn:microsoft.com/office/officeart/2005/8/layout/cycle1"/>
    <dgm:cxn modelId="{031D8D04-0C20-4A37-AF32-3C055BD21EF5}" type="presParOf" srcId="{9CDCC8C5-D849-4F7A-832B-765069242C70}" destId="{4BB4FD15-4A45-4A8E-AA09-7001C5DB688B}" srcOrd="1" destOrd="0" presId="urn:microsoft.com/office/officeart/2005/8/layout/cycle1"/>
    <dgm:cxn modelId="{51D69270-3058-4670-A339-57FB4D19106D}" type="presParOf" srcId="{9CDCC8C5-D849-4F7A-832B-765069242C70}" destId="{EDAC52CA-03D9-4076-9A75-805B06AA1E3A}" srcOrd="2" destOrd="0" presId="urn:microsoft.com/office/officeart/2005/8/layout/cycle1"/>
    <dgm:cxn modelId="{FA83BB82-0BB4-4446-9FA2-3AFA4A70D5D6}" type="presParOf" srcId="{9CDCC8C5-D849-4F7A-832B-765069242C70}" destId="{6B07DF04-2593-4CBF-8273-9D8A0E615367}" srcOrd="3" destOrd="0" presId="urn:microsoft.com/office/officeart/2005/8/layout/cycle1"/>
    <dgm:cxn modelId="{41E5F85C-1710-456D-83AF-963F5FAFF836}" type="presParOf" srcId="{9CDCC8C5-D849-4F7A-832B-765069242C70}" destId="{3C4E426F-9A68-4B24-B33C-917138F20EE5}" srcOrd="4" destOrd="0" presId="urn:microsoft.com/office/officeart/2005/8/layout/cycle1"/>
    <dgm:cxn modelId="{3F7A09DB-2E93-429D-B5BB-FE70CD8CED66}" type="presParOf" srcId="{9CDCC8C5-D849-4F7A-832B-765069242C70}" destId="{527C1B3D-7716-4FAE-899E-5834BAEA2A18}" srcOrd="5" destOrd="0" presId="urn:microsoft.com/office/officeart/2005/8/layout/cycle1"/>
    <dgm:cxn modelId="{72367087-A390-4E47-A46B-5B74A245132D}" type="presParOf" srcId="{9CDCC8C5-D849-4F7A-832B-765069242C70}" destId="{A18B20B1-D9F2-4CA0-8DF8-D76AC707E5FE}" srcOrd="6" destOrd="0" presId="urn:microsoft.com/office/officeart/2005/8/layout/cycle1"/>
    <dgm:cxn modelId="{41856A06-681C-4A79-8C10-4EC9B012AD54}" type="presParOf" srcId="{9CDCC8C5-D849-4F7A-832B-765069242C70}" destId="{F7E9FC53-E179-41FE-AB4D-EE74FED4CC6F}" srcOrd="7" destOrd="0" presId="urn:microsoft.com/office/officeart/2005/8/layout/cycle1"/>
    <dgm:cxn modelId="{64E7A49C-7412-4743-8011-B8C1DE815CC4}" type="presParOf" srcId="{9CDCC8C5-D849-4F7A-832B-765069242C70}" destId="{6CA1641E-0442-4D02-A5FA-351A999EAC2B}" srcOrd="8" destOrd="0" presId="urn:microsoft.com/office/officeart/2005/8/layout/cycle1"/>
    <dgm:cxn modelId="{3A64285F-A349-44B0-9D98-F5A2BCD629CC}" type="presParOf" srcId="{9CDCC8C5-D849-4F7A-832B-765069242C70}" destId="{2CBD176B-5346-44AA-AF6C-64486A6DB921}" srcOrd="9" destOrd="0" presId="urn:microsoft.com/office/officeart/2005/8/layout/cycle1"/>
    <dgm:cxn modelId="{1E17C555-4354-4F96-9499-FDE0FCDB4BB1}" type="presParOf" srcId="{9CDCC8C5-D849-4F7A-832B-765069242C70}" destId="{A6B3D079-AC17-4F54-804F-1B73FD8E070E}" srcOrd="10" destOrd="0" presId="urn:microsoft.com/office/officeart/2005/8/layout/cycle1"/>
    <dgm:cxn modelId="{D0C908CD-5A0C-4452-87E2-D847D21918C9}" type="presParOf" srcId="{9CDCC8C5-D849-4F7A-832B-765069242C70}" destId="{970FCC38-041B-47EE-96D7-392495752618}" srcOrd="11" destOrd="0" presId="urn:microsoft.com/office/officeart/2005/8/layout/cycle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B4FD15-4A45-4A8E-AA09-7001C5DB688B}">
      <dsp:nvSpPr>
        <dsp:cNvPr id="0" name=""/>
        <dsp:cNvSpPr/>
      </dsp:nvSpPr>
      <dsp:spPr>
        <a:xfrm>
          <a:off x="2033822" y="48333"/>
          <a:ext cx="1139070" cy="77989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GB" sz="1600" kern="1200">
              <a:solidFill>
                <a:sysClr val="windowText" lastClr="000000">
                  <a:hueOff val="0"/>
                  <a:satOff val="0"/>
                  <a:lumOff val="0"/>
                  <a:alphaOff val="0"/>
                </a:sysClr>
              </a:solidFill>
              <a:latin typeface="Calibri" panose="020F0502020204030204"/>
              <a:ea typeface="+mn-ea"/>
              <a:cs typeface="+mn-cs"/>
            </a:rPr>
            <a:t>Do</a:t>
          </a:r>
        </a:p>
        <a:p>
          <a:pPr marL="0" lvl="0" indent="0" algn="ctr" defTabSz="7112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panose="020F0502020204030204"/>
              <a:ea typeface="+mn-ea"/>
              <a:cs typeface="+mn-cs"/>
            </a:rPr>
            <a:t>Implement and operate the ISMS</a:t>
          </a:r>
        </a:p>
      </dsp:txBody>
      <dsp:txXfrm>
        <a:off x="2033822" y="48333"/>
        <a:ext cx="1139070" cy="779896"/>
      </dsp:txXfrm>
    </dsp:sp>
    <dsp:sp modelId="{EDAC52CA-03D9-4076-9A75-805B06AA1E3A}">
      <dsp:nvSpPr>
        <dsp:cNvPr id="0" name=""/>
        <dsp:cNvSpPr/>
      </dsp:nvSpPr>
      <dsp:spPr>
        <a:xfrm>
          <a:off x="839978" y="-751"/>
          <a:ext cx="2202413" cy="2202413"/>
        </a:xfrm>
        <a:prstGeom prst="circularArrow">
          <a:avLst>
            <a:gd name="adj1" fmla="val 6907"/>
            <a:gd name="adj2" fmla="val 465731"/>
            <a:gd name="adj3" fmla="val 547819"/>
            <a:gd name="adj4" fmla="val 20586450"/>
            <a:gd name="adj5" fmla="val 8058"/>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C4E426F-9A68-4B24-B33C-917138F20EE5}">
      <dsp:nvSpPr>
        <dsp:cNvPr id="0" name=""/>
        <dsp:cNvSpPr/>
      </dsp:nvSpPr>
      <dsp:spPr>
        <a:xfrm>
          <a:off x="2143597" y="1372679"/>
          <a:ext cx="919521" cy="77989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GB" sz="1600" kern="1200">
              <a:solidFill>
                <a:sysClr val="windowText" lastClr="000000">
                  <a:hueOff val="0"/>
                  <a:satOff val="0"/>
                  <a:lumOff val="0"/>
                  <a:alphaOff val="0"/>
                </a:sysClr>
              </a:solidFill>
              <a:latin typeface="Calibri" panose="020F0502020204030204"/>
              <a:ea typeface="+mn-ea"/>
              <a:cs typeface="+mn-cs"/>
            </a:rPr>
            <a:t>Check</a:t>
          </a:r>
          <a:br>
            <a:rPr lang="en-GB" sz="1600" kern="1200">
              <a:solidFill>
                <a:sysClr val="windowText" lastClr="000000">
                  <a:hueOff val="0"/>
                  <a:satOff val="0"/>
                  <a:lumOff val="0"/>
                  <a:alphaOff val="0"/>
                </a:sysClr>
              </a:solidFill>
              <a:latin typeface="Calibri" panose="020F0502020204030204"/>
              <a:ea typeface="+mn-ea"/>
              <a:cs typeface="+mn-cs"/>
            </a:rPr>
          </a:br>
          <a:r>
            <a:rPr lang="en-GB" sz="1000" kern="1200">
              <a:solidFill>
                <a:sysClr val="windowText" lastClr="000000">
                  <a:hueOff val="0"/>
                  <a:satOff val="0"/>
                  <a:lumOff val="0"/>
                  <a:alphaOff val="0"/>
                </a:sysClr>
              </a:solidFill>
              <a:latin typeface="Calibri" panose="020F0502020204030204"/>
              <a:ea typeface="+mn-ea"/>
              <a:cs typeface="+mn-cs"/>
            </a:rPr>
            <a:t>Monitor and review the ISMS</a:t>
          </a:r>
        </a:p>
      </dsp:txBody>
      <dsp:txXfrm>
        <a:off x="2143597" y="1372679"/>
        <a:ext cx="919521" cy="779896"/>
      </dsp:txXfrm>
    </dsp:sp>
    <dsp:sp modelId="{527C1B3D-7716-4FAE-899E-5834BAEA2A18}">
      <dsp:nvSpPr>
        <dsp:cNvPr id="0" name=""/>
        <dsp:cNvSpPr/>
      </dsp:nvSpPr>
      <dsp:spPr>
        <a:xfrm>
          <a:off x="839978" y="-751"/>
          <a:ext cx="2202413" cy="2202413"/>
        </a:xfrm>
        <a:prstGeom prst="circularArrow">
          <a:avLst>
            <a:gd name="adj1" fmla="val 6907"/>
            <a:gd name="adj2" fmla="val 465731"/>
            <a:gd name="adj3" fmla="val 5394104"/>
            <a:gd name="adj4" fmla="val 4651528"/>
            <a:gd name="adj5" fmla="val 8058"/>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7E9FC53-E179-41FE-AB4D-EE74FED4CC6F}">
      <dsp:nvSpPr>
        <dsp:cNvPr id="0" name=""/>
        <dsp:cNvSpPr/>
      </dsp:nvSpPr>
      <dsp:spPr>
        <a:xfrm>
          <a:off x="741881" y="1372679"/>
          <a:ext cx="1074260" cy="77989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endParaRPr lang="en-GB" sz="1000" kern="1200">
            <a:solidFill>
              <a:sysClr val="windowText" lastClr="000000">
                <a:hueOff val="0"/>
                <a:satOff val="0"/>
                <a:lumOff val="0"/>
                <a:alphaOff val="0"/>
              </a:sysClr>
            </a:solidFill>
            <a:latin typeface="Calibri" panose="020F0502020204030204"/>
            <a:ea typeface="+mn-ea"/>
            <a:cs typeface="+mn-cs"/>
          </a:endParaRPr>
        </a:p>
        <a:p>
          <a:pPr marL="0" lvl="0" indent="0" algn="ctr" defTabSz="444500">
            <a:lnSpc>
              <a:spcPct val="90000"/>
            </a:lnSpc>
            <a:spcBef>
              <a:spcPct val="0"/>
            </a:spcBef>
            <a:spcAft>
              <a:spcPct val="35000"/>
            </a:spcAft>
            <a:buNone/>
          </a:pPr>
          <a:endParaRPr lang="en-GB" sz="1000" kern="1200">
            <a:solidFill>
              <a:sysClr val="windowText" lastClr="000000">
                <a:hueOff val="0"/>
                <a:satOff val="0"/>
                <a:lumOff val="0"/>
                <a:alphaOff val="0"/>
              </a:sysClr>
            </a:solidFill>
            <a:latin typeface="Calibri" panose="020F0502020204030204"/>
            <a:ea typeface="+mn-ea"/>
            <a:cs typeface="+mn-cs"/>
          </a:endParaRPr>
        </a:p>
        <a:p>
          <a:pPr marL="0" lvl="0" indent="0" algn="ctr" defTabSz="444500">
            <a:lnSpc>
              <a:spcPct val="90000"/>
            </a:lnSpc>
            <a:spcBef>
              <a:spcPct val="0"/>
            </a:spcBef>
            <a:spcAft>
              <a:spcPct val="35000"/>
            </a:spcAft>
            <a:buNone/>
          </a:pPr>
          <a:endParaRPr lang="en-GB" sz="1000" kern="1200">
            <a:solidFill>
              <a:sysClr val="windowText" lastClr="000000">
                <a:hueOff val="0"/>
                <a:satOff val="0"/>
                <a:lumOff val="0"/>
                <a:alphaOff val="0"/>
              </a:sysClr>
            </a:solidFill>
            <a:latin typeface="Calibri" panose="020F0502020204030204"/>
            <a:ea typeface="+mn-ea"/>
            <a:cs typeface="+mn-cs"/>
          </a:endParaRPr>
        </a:p>
        <a:p>
          <a:pPr marL="0" lvl="0" indent="0" algn="ctr" defTabSz="444500">
            <a:lnSpc>
              <a:spcPct val="90000"/>
            </a:lnSpc>
            <a:spcBef>
              <a:spcPct val="0"/>
            </a:spcBef>
            <a:spcAft>
              <a:spcPct val="35000"/>
            </a:spcAft>
            <a:buNone/>
          </a:pPr>
          <a:r>
            <a:rPr lang="en-GB" sz="1600" kern="1200">
              <a:solidFill>
                <a:sysClr val="windowText" lastClr="000000">
                  <a:hueOff val="0"/>
                  <a:satOff val="0"/>
                  <a:lumOff val="0"/>
                  <a:alphaOff val="0"/>
                </a:sysClr>
              </a:solidFill>
              <a:latin typeface="Calibri" panose="020F0502020204030204"/>
              <a:ea typeface="+mn-ea"/>
              <a:cs typeface="+mn-cs"/>
            </a:rPr>
            <a:t>Act</a:t>
          </a:r>
        </a:p>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panose="020F0502020204030204"/>
              <a:ea typeface="+mn-ea"/>
              <a:cs typeface="+mn-cs"/>
            </a:rPr>
            <a:t>Maintain and improve the ISMS</a:t>
          </a:r>
          <a:br>
            <a:rPr lang="en-GB" sz="1600" kern="1200">
              <a:solidFill>
                <a:sysClr val="windowText" lastClr="000000">
                  <a:hueOff val="0"/>
                  <a:satOff val="0"/>
                  <a:lumOff val="0"/>
                  <a:alphaOff val="0"/>
                </a:sysClr>
              </a:solidFill>
              <a:latin typeface="Calibri" panose="020F0502020204030204"/>
              <a:ea typeface="+mn-ea"/>
              <a:cs typeface="+mn-cs"/>
            </a:rPr>
          </a:br>
          <a:r>
            <a:rPr lang="en-GB" sz="3300" kern="1200">
              <a:solidFill>
                <a:sysClr val="windowText" lastClr="000000">
                  <a:hueOff val="0"/>
                  <a:satOff val="0"/>
                  <a:lumOff val="0"/>
                  <a:alphaOff val="0"/>
                </a:sysClr>
              </a:solidFill>
              <a:latin typeface="Calibri" panose="020F0502020204030204"/>
              <a:ea typeface="+mn-ea"/>
              <a:cs typeface="+mn-cs"/>
            </a:rPr>
            <a:t> </a:t>
          </a:r>
        </a:p>
      </dsp:txBody>
      <dsp:txXfrm>
        <a:off x="741881" y="1372679"/>
        <a:ext cx="1074260" cy="779896"/>
      </dsp:txXfrm>
    </dsp:sp>
    <dsp:sp modelId="{6CA1641E-0442-4D02-A5FA-351A999EAC2B}">
      <dsp:nvSpPr>
        <dsp:cNvPr id="0" name=""/>
        <dsp:cNvSpPr/>
      </dsp:nvSpPr>
      <dsp:spPr>
        <a:xfrm>
          <a:off x="839978" y="-751"/>
          <a:ext cx="2202413" cy="2202413"/>
        </a:xfrm>
        <a:prstGeom prst="circularArrow">
          <a:avLst>
            <a:gd name="adj1" fmla="val 6907"/>
            <a:gd name="adj2" fmla="val 465731"/>
            <a:gd name="adj3" fmla="val 11347819"/>
            <a:gd name="adj4" fmla="val 9786450"/>
            <a:gd name="adj5" fmla="val 8058"/>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6B3D079-AC17-4F54-804F-1B73FD8E070E}">
      <dsp:nvSpPr>
        <dsp:cNvPr id="0" name=""/>
        <dsp:cNvSpPr/>
      </dsp:nvSpPr>
      <dsp:spPr>
        <a:xfrm>
          <a:off x="889064" y="48333"/>
          <a:ext cx="779896" cy="77989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GB" sz="1600" kern="1200">
              <a:solidFill>
                <a:sysClr val="windowText" lastClr="000000">
                  <a:hueOff val="0"/>
                  <a:satOff val="0"/>
                  <a:lumOff val="0"/>
                  <a:alphaOff val="0"/>
                </a:sysClr>
              </a:solidFill>
              <a:latin typeface="Calibri" panose="020F0502020204030204"/>
              <a:ea typeface="+mn-ea"/>
              <a:cs typeface="+mn-cs"/>
            </a:rPr>
            <a:t>Plan</a:t>
          </a:r>
        </a:p>
        <a:p>
          <a:pPr marL="0" lvl="0" indent="0" algn="ctr" defTabSz="7112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panose="020F0502020204030204"/>
              <a:ea typeface="+mn-ea"/>
              <a:cs typeface="+mn-cs"/>
            </a:rPr>
            <a:t>Establish the ISMS</a:t>
          </a:r>
        </a:p>
      </dsp:txBody>
      <dsp:txXfrm>
        <a:off x="889064" y="48333"/>
        <a:ext cx="779896" cy="779896"/>
      </dsp:txXfrm>
    </dsp:sp>
    <dsp:sp modelId="{970FCC38-041B-47EE-96D7-392495752618}">
      <dsp:nvSpPr>
        <dsp:cNvPr id="0" name=""/>
        <dsp:cNvSpPr/>
      </dsp:nvSpPr>
      <dsp:spPr>
        <a:xfrm>
          <a:off x="839978" y="-751"/>
          <a:ext cx="2202413" cy="2202413"/>
        </a:xfrm>
        <a:prstGeom prst="circularArrow">
          <a:avLst>
            <a:gd name="adj1" fmla="val 6907"/>
            <a:gd name="adj2" fmla="val 465731"/>
            <a:gd name="adj3" fmla="val 16074295"/>
            <a:gd name="adj4" fmla="val 15186450"/>
            <a:gd name="adj5" fmla="val 8058"/>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631B9-E185-4FF0-A530-1EEF8D031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01-CQC Master Policy Template.dot</Template>
  <TotalTime>0</TotalTime>
  <Pages>15</Pages>
  <Words>5087</Words>
  <Characters>29001</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Repeat Prescription and Medication Review Protocol</vt:lpstr>
    </vt:vector>
  </TitlesOfParts>
  <Company>WALSALL WOOD HEALTH CENTRE</Company>
  <LinksUpToDate>false</LinksUpToDate>
  <CharactersWithSpaces>34020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Repeat Prescription and Medication Review Protocol</dc:title>
  <dc:creator>Michael Brook</dc:creator>
  <dc:description>v1.10.3.0</dc:description>
  <cp:lastModifiedBy>Katy Morson</cp:lastModifiedBy>
  <cp:revision>2</cp:revision>
  <cp:lastPrinted>2019-04-05T13:40:00Z</cp:lastPrinted>
  <dcterms:created xsi:type="dcterms:W3CDTF">2022-11-03T13:38:00Z</dcterms:created>
  <dcterms:modified xsi:type="dcterms:W3CDTF">2022-11-03T13:38:00Z</dcterms:modified>
</cp:coreProperties>
</file>